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14" w:rsidRDefault="00FC4B14" w:rsidP="00FC4B14">
      <w:pPr>
        <w:jc w:val="center"/>
      </w:pPr>
      <w:bookmarkStart w:id="0" w:name="_Toc523189939"/>
    </w:p>
    <w:p w:rsidR="00FC4B14" w:rsidRPr="00332FBD" w:rsidRDefault="00FC4B14" w:rsidP="00FC4B14">
      <w:pPr>
        <w:jc w:val="center"/>
        <w:rPr>
          <w:sz w:val="28"/>
          <w:szCs w:val="28"/>
        </w:rPr>
      </w:pPr>
    </w:p>
    <w:p w:rsidR="00FC4B14" w:rsidRPr="00332FBD" w:rsidRDefault="00FC4B14" w:rsidP="00FC4B14">
      <w:pPr>
        <w:jc w:val="center"/>
        <w:rPr>
          <w:b/>
          <w:sz w:val="32"/>
          <w:szCs w:val="32"/>
        </w:rPr>
      </w:pPr>
      <w:r w:rsidRPr="00332FBD">
        <w:rPr>
          <w:b/>
          <w:sz w:val="32"/>
          <w:szCs w:val="32"/>
        </w:rPr>
        <w:t xml:space="preserve">SPECYFIKACJA TECHNICZNA WYKONANIA I ODBIORU ROBÓT </w:t>
      </w:r>
    </w:p>
    <w:p w:rsidR="00FC4B14" w:rsidRDefault="00FC4B14" w:rsidP="00FC4B14">
      <w:pPr>
        <w:jc w:val="center"/>
        <w:rPr>
          <w:b/>
          <w:sz w:val="32"/>
          <w:szCs w:val="32"/>
        </w:rPr>
      </w:pPr>
    </w:p>
    <w:p w:rsidR="00FC4B14" w:rsidRDefault="00FC4B14" w:rsidP="00FC4B14">
      <w:pPr>
        <w:jc w:val="center"/>
        <w:rPr>
          <w:b/>
          <w:sz w:val="32"/>
          <w:szCs w:val="32"/>
        </w:rPr>
      </w:pPr>
    </w:p>
    <w:p w:rsidR="00FC4B14" w:rsidRDefault="00FC4B14" w:rsidP="00FC4B14">
      <w:pPr>
        <w:jc w:val="center"/>
        <w:rPr>
          <w:b/>
          <w:sz w:val="32"/>
          <w:szCs w:val="32"/>
        </w:rPr>
      </w:pPr>
      <w:r>
        <w:t>PODBUDOWA Z KRUSZYWA ŁAMANEGO STABILIZOWANEGO MECHANICZNIE</w:t>
      </w:r>
    </w:p>
    <w:p w:rsidR="00FC4B14" w:rsidRDefault="00FC4B14" w:rsidP="00FC4B14">
      <w:pPr>
        <w:jc w:val="center"/>
        <w:rPr>
          <w:b/>
          <w:sz w:val="32"/>
          <w:szCs w:val="32"/>
        </w:rPr>
      </w:pPr>
    </w:p>
    <w:p w:rsidR="00FC4B14" w:rsidRPr="00332FBD" w:rsidRDefault="00FC4B14" w:rsidP="00FC4B14">
      <w:pPr>
        <w:jc w:val="center"/>
        <w:rPr>
          <w:sz w:val="28"/>
          <w:szCs w:val="28"/>
        </w:rPr>
      </w:pPr>
    </w:p>
    <w:p w:rsidR="00FC4B14" w:rsidRPr="00332FBD" w:rsidRDefault="00FC4B14" w:rsidP="00FC4B14">
      <w:pPr>
        <w:jc w:val="center"/>
        <w:rPr>
          <w:sz w:val="28"/>
          <w:szCs w:val="28"/>
        </w:rPr>
      </w:pPr>
      <w:r w:rsidRPr="00332FBD">
        <w:rPr>
          <w:sz w:val="28"/>
          <w:szCs w:val="28"/>
        </w:rPr>
        <w:t xml:space="preserve">DLA ZADANIA </w:t>
      </w:r>
    </w:p>
    <w:p w:rsidR="00FC4B14" w:rsidRPr="00332FBD" w:rsidRDefault="00FC4B14" w:rsidP="00FC4B14">
      <w:pPr>
        <w:jc w:val="center"/>
        <w:rPr>
          <w:sz w:val="28"/>
          <w:szCs w:val="28"/>
        </w:rPr>
      </w:pPr>
    </w:p>
    <w:p w:rsidR="00FC4B14" w:rsidRDefault="00FC4B14" w:rsidP="00FC4B14">
      <w:pPr>
        <w:jc w:val="center"/>
        <w:rPr>
          <w:sz w:val="28"/>
          <w:szCs w:val="28"/>
        </w:rPr>
      </w:pPr>
      <w:r w:rsidRPr="00332FBD">
        <w:rPr>
          <w:sz w:val="28"/>
          <w:szCs w:val="28"/>
        </w:rPr>
        <w:t>„</w:t>
      </w:r>
      <w:r w:rsidRPr="00332FBD">
        <w:rPr>
          <w:b/>
          <w:bCs/>
          <w:sz w:val="28"/>
          <w:szCs w:val="28"/>
        </w:rPr>
        <w:t xml:space="preserve">Remont drogi wewnętrznej zlokalizowanej na dz. o nr </w:t>
      </w:r>
      <w:proofErr w:type="spellStart"/>
      <w:r w:rsidRPr="00332FBD">
        <w:rPr>
          <w:b/>
          <w:bCs/>
          <w:sz w:val="28"/>
          <w:szCs w:val="28"/>
        </w:rPr>
        <w:t>ewid</w:t>
      </w:r>
      <w:proofErr w:type="spellEnd"/>
      <w:r w:rsidRPr="00332FBD">
        <w:rPr>
          <w:b/>
          <w:bCs/>
          <w:sz w:val="28"/>
          <w:szCs w:val="28"/>
        </w:rPr>
        <w:t>.</w:t>
      </w:r>
      <w:r w:rsidRPr="00332FBD">
        <w:rPr>
          <w:bCs/>
          <w:sz w:val="28"/>
          <w:szCs w:val="28"/>
        </w:rPr>
        <w:t xml:space="preserve">, </w:t>
      </w:r>
      <w:r w:rsidRPr="00332FBD">
        <w:rPr>
          <w:b/>
          <w:bCs/>
          <w:sz w:val="28"/>
          <w:szCs w:val="28"/>
        </w:rPr>
        <w:t>432/6</w:t>
      </w:r>
      <w:r w:rsidRPr="00332FBD">
        <w:rPr>
          <w:bCs/>
          <w:sz w:val="28"/>
          <w:szCs w:val="28"/>
        </w:rPr>
        <w:t xml:space="preserve">, </w:t>
      </w:r>
      <w:r w:rsidRPr="00332FBD">
        <w:rPr>
          <w:b/>
          <w:bCs/>
          <w:sz w:val="28"/>
          <w:szCs w:val="28"/>
        </w:rPr>
        <w:t>432/3</w:t>
      </w:r>
      <w:r w:rsidRPr="00332FBD">
        <w:rPr>
          <w:bCs/>
          <w:sz w:val="28"/>
          <w:szCs w:val="28"/>
        </w:rPr>
        <w:t xml:space="preserve">, </w:t>
      </w:r>
      <w:r w:rsidRPr="00332FBD">
        <w:rPr>
          <w:b/>
          <w:bCs/>
          <w:sz w:val="28"/>
          <w:szCs w:val="28"/>
        </w:rPr>
        <w:t xml:space="preserve">432/2 w miejscowości Głowienka w km </w:t>
      </w:r>
      <w:r>
        <w:rPr>
          <w:b/>
          <w:bCs/>
          <w:sz w:val="28"/>
          <w:szCs w:val="28"/>
        </w:rPr>
        <w:br/>
      </w:r>
      <w:r w:rsidRPr="00332FBD">
        <w:rPr>
          <w:b/>
          <w:bCs/>
          <w:sz w:val="28"/>
          <w:szCs w:val="28"/>
        </w:rPr>
        <w:t>od 0+080 do 0+</w:t>
      </w:r>
      <w:r w:rsidR="00C444D7">
        <w:rPr>
          <w:b/>
          <w:bCs/>
          <w:sz w:val="28"/>
          <w:szCs w:val="28"/>
        </w:rPr>
        <w:t>402</w:t>
      </w:r>
      <w:r w:rsidRPr="00332FBD">
        <w:rPr>
          <w:sz w:val="28"/>
          <w:szCs w:val="28"/>
        </w:rPr>
        <w:t>”</w:t>
      </w:r>
    </w:p>
    <w:p w:rsidR="00FC4B14" w:rsidRDefault="00FC4B14" w:rsidP="00FC4B14">
      <w:pPr>
        <w:rPr>
          <w:sz w:val="28"/>
          <w:szCs w:val="28"/>
        </w:rPr>
      </w:pPr>
    </w:p>
    <w:p w:rsidR="00FC4B14" w:rsidRDefault="00FC4B14" w:rsidP="00FC4B14">
      <w:pPr>
        <w:rPr>
          <w:sz w:val="28"/>
          <w:szCs w:val="28"/>
        </w:rPr>
      </w:pPr>
    </w:p>
    <w:p w:rsidR="00FC4B14" w:rsidRDefault="00FC4B14" w:rsidP="00FC4B14">
      <w:pPr>
        <w:ind w:left="1985" w:hanging="1985"/>
        <w:rPr>
          <w:b/>
          <w:sz w:val="28"/>
          <w:szCs w:val="28"/>
        </w:rPr>
      </w:pPr>
      <w:r>
        <w:rPr>
          <w:sz w:val="28"/>
          <w:szCs w:val="28"/>
        </w:rPr>
        <w:t xml:space="preserve">INWESTOR:      </w:t>
      </w:r>
      <w:r w:rsidRPr="00332FBD">
        <w:rPr>
          <w:b/>
          <w:sz w:val="28"/>
          <w:szCs w:val="28"/>
        </w:rPr>
        <w:t xml:space="preserve">GMINA MIEJSCE PIASTOWE   </w:t>
      </w:r>
    </w:p>
    <w:p w:rsidR="00FC4B14" w:rsidRDefault="00FC4B14" w:rsidP="00FC4B14">
      <w:pPr>
        <w:ind w:left="1985"/>
        <w:rPr>
          <w:sz w:val="28"/>
          <w:szCs w:val="28"/>
        </w:rPr>
      </w:pPr>
      <w:r w:rsidRPr="00332FBD">
        <w:rPr>
          <w:b/>
          <w:sz w:val="28"/>
          <w:szCs w:val="28"/>
        </w:rPr>
        <w:t xml:space="preserve">- </w:t>
      </w:r>
      <w:r w:rsidRPr="00332FBD">
        <w:rPr>
          <w:sz w:val="28"/>
          <w:szCs w:val="28"/>
        </w:rPr>
        <w:t>ul. Dukielska 14, 38-</w:t>
      </w:r>
      <w:r>
        <w:rPr>
          <w:sz w:val="28"/>
          <w:szCs w:val="28"/>
        </w:rPr>
        <w:t xml:space="preserve">   </w:t>
      </w:r>
      <w:r w:rsidRPr="00332FBD">
        <w:rPr>
          <w:sz w:val="28"/>
          <w:szCs w:val="28"/>
        </w:rPr>
        <w:t>430 Miejsce Piastowe</w:t>
      </w:r>
    </w:p>
    <w:p w:rsidR="00FC4B14" w:rsidRDefault="00FC4B14" w:rsidP="00FC4B14">
      <w:pPr>
        <w:rPr>
          <w:sz w:val="28"/>
          <w:szCs w:val="28"/>
        </w:rPr>
      </w:pPr>
    </w:p>
    <w:p w:rsidR="00FC4B14" w:rsidRDefault="00FC4B14" w:rsidP="00FC4B14">
      <w:pPr>
        <w:rPr>
          <w:sz w:val="28"/>
          <w:szCs w:val="28"/>
        </w:rPr>
      </w:pPr>
    </w:p>
    <w:p w:rsidR="00FC4B14" w:rsidRDefault="00FC4B14" w:rsidP="00FC4B14">
      <w:pPr>
        <w:rPr>
          <w:sz w:val="28"/>
          <w:szCs w:val="28"/>
        </w:rPr>
      </w:pPr>
    </w:p>
    <w:p w:rsidR="00FC4B14" w:rsidRDefault="00FC4B14" w:rsidP="00FC4B14">
      <w:pPr>
        <w:rPr>
          <w:sz w:val="28"/>
          <w:szCs w:val="28"/>
        </w:rPr>
      </w:pPr>
    </w:p>
    <w:p w:rsidR="00FC4B14" w:rsidRDefault="00FC4B14" w:rsidP="00FC4B14">
      <w:pPr>
        <w:rPr>
          <w:sz w:val="28"/>
          <w:szCs w:val="28"/>
        </w:rPr>
      </w:pPr>
    </w:p>
    <w:p w:rsidR="00FC4B14" w:rsidRPr="00332FBD" w:rsidRDefault="00FC4B14" w:rsidP="00FC4B14">
      <w:pPr>
        <w:rPr>
          <w:sz w:val="28"/>
          <w:szCs w:val="28"/>
        </w:rP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FC4B14">
      <w:pPr>
        <w:jc w:val="center"/>
      </w:pPr>
    </w:p>
    <w:p w:rsidR="00FC4B14" w:rsidRDefault="00FC4B14" w:rsidP="007C4CDC">
      <w:pPr>
        <w:pStyle w:val="Nagwek"/>
      </w:pPr>
    </w:p>
    <w:p w:rsidR="00FC4B14" w:rsidRDefault="00FC4B14" w:rsidP="007C4CDC">
      <w:pPr>
        <w:pStyle w:val="Nagwek"/>
      </w:pPr>
    </w:p>
    <w:p w:rsidR="00FC4B14" w:rsidRDefault="00FC4B14" w:rsidP="007C4CDC">
      <w:pPr>
        <w:pStyle w:val="Nagwek"/>
      </w:pPr>
    </w:p>
    <w:p w:rsidR="007C4CDC" w:rsidRDefault="007C4CDC" w:rsidP="007C4CDC">
      <w:pPr>
        <w:pStyle w:val="Nagwek"/>
        <w:rPr>
          <w:iCs/>
          <w:sz w:val="38"/>
        </w:rPr>
      </w:pPr>
      <w:r>
        <w:lastRenderedPageBreak/>
        <w:t>SST</w:t>
      </w:r>
      <w:bookmarkStart w:id="1" w:name="_Toc119132422"/>
      <w:r>
        <w:t xml:space="preserve"> D - 04.04.0</w:t>
      </w:r>
      <w:bookmarkEnd w:id="1"/>
      <w:r>
        <w:t xml:space="preserve">2 </w:t>
      </w:r>
      <w:bookmarkStart w:id="2" w:name="_Toc119132423"/>
      <w:r>
        <w:t>PODBUDOWA Z KRUSZYWA ŁAMANEGO STABILIZOWANEGO MECHANICZNIE</w:t>
      </w:r>
      <w:bookmarkEnd w:id="0"/>
      <w:bookmarkEnd w:id="2"/>
    </w:p>
    <w:p w:rsidR="007C4CDC" w:rsidRDefault="007C4CDC" w:rsidP="007C4CDC">
      <w:pPr>
        <w:pStyle w:val="Standardowytekst"/>
        <w:rPr>
          <w:b/>
        </w:rPr>
      </w:pPr>
    </w:p>
    <w:p w:rsidR="007C4CDC" w:rsidRDefault="007C4CDC" w:rsidP="007C4CDC">
      <w:pPr>
        <w:pStyle w:val="Standardowytekst"/>
        <w:rPr>
          <w:b/>
        </w:rPr>
      </w:pPr>
      <w:r>
        <w:rPr>
          <w:b/>
        </w:rPr>
        <w:t>1. WSTĘP</w:t>
      </w:r>
    </w:p>
    <w:p w:rsidR="007C4CDC" w:rsidRDefault="007C4CDC" w:rsidP="007C4CDC">
      <w:pPr>
        <w:pStyle w:val="Nagwek2"/>
      </w:pPr>
      <w:r>
        <w:t>1.1.Przedmiot SST</w:t>
      </w:r>
    </w:p>
    <w:p w:rsidR="007C4CDC" w:rsidRDefault="007C4CDC" w:rsidP="007C4CDC">
      <w:pPr>
        <w:ind w:firstLine="708"/>
        <w:jc w:val="both"/>
        <w:rPr>
          <w:sz w:val="20"/>
          <w:szCs w:val="20"/>
        </w:rPr>
      </w:pPr>
      <w:r>
        <w:rPr>
          <w:sz w:val="20"/>
          <w:szCs w:val="20"/>
        </w:rPr>
        <w:t>Przedmiotem niniejszej szczegółowej specyfikacji technicznej (SST) są wymagania dotyczące wykonania i odbioru robót związanych z wykonywaniem podbudowy z kruszywa stabilizowanego mechanicznie.</w:t>
      </w:r>
    </w:p>
    <w:p w:rsidR="007C4CDC" w:rsidRDefault="007C4CDC" w:rsidP="007C4CDC">
      <w:pPr>
        <w:tabs>
          <w:tab w:val="left" w:pos="0"/>
        </w:tabs>
        <w:jc w:val="both"/>
        <w:rPr>
          <w:sz w:val="20"/>
          <w:szCs w:val="20"/>
        </w:rPr>
      </w:pPr>
    </w:p>
    <w:p w:rsidR="007C4CDC" w:rsidRDefault="007C4CDC" w:rsidP="007C4CDC">
      <w:pPr>
        <w:pStyle w:val="Nagwek2"/>
      </w:pPr>
      <w:r>
        <w:t>1.2. Zakres stosowania SST</w:t>
      </w:r>
    </w:p>
    <w:p w:rsidR="007C4CDC" w:rsidRPr="00FC4B14" w:rsidRDefault="007C4CDC" w:rsidP="00FA23C1">
      <w:pPr>
        <w:jc w:val="both"/>
        <w:rPr>
          <w:sz w:val="20"/>
          <w:szCs w:val="20"/>
        </w:rPr>
      </w:pPr>
      <w:r>
        <w:rPr>
          <w:sz w:val="20"/>
          <w:szCs w:val="20"/>
        </w:rPr>
        <w:tab/>
      </w:r>
      <w:r w:rsidR="00CB127F" w:rsidRPr="00FC4B14">
        <w:rPr>
          <w:sz w:val="20"/>
          <w:szCs w:val="20"/>
        </w:rPr>
        <w:t xml:space="preserve">Szczegółowa specyfikacja techniczna jest stosowana jako dokument przetargowy i kontraktowy przy zlecaniu i realizacji </w:t>
      </w:r>
      <w:r w:rsidR="00FC4B14" w:rsidRPr="00FC4B14">
        <w:rPr>
          <w:bCs/>
          <w:sz w:val="20"/>
          <w:szCs w:val="20"/>
        </w:rPr>
        <w:t xml:space="preserve">remontu drogi wewnętrznej zlokalizowanej na dz. o nr </w:t>
      </w:r>
      <w:proofErr w:type="spellStart"/>
      <w:r w:rsidR="00FC4B14" w:rsidRPr="00FC4B14">
        <w:rPr>
          <w:bCs/>
          <w:sz w:val="20"/>
          <w:szCs w:val="20"/>
        </w:rPr>
        <w:t>ewid</w:t>
      </w:r>
      <w:proofErr w:type="spellEnd"/>
      <w:r w:rsidR="00FC4B14" w:rsidRPr="00FC4B14">
        <w:rPr>
          <w:bCs/>
          <w:sz w:val="20"/>
          <w:szCs w:val="20"/>
        </w:rPr>
        <w:t xml:space="preserve">., 432/6, 432/3, 432/2 </w:t>
      </w:r>
      <w:r w:rsidR="00C444D7">
        <w:rPr>
          <w:bCs/>
          <w:sz w:val="20"/>
          <w:szCs w:val="20"/>
        </w:rPr>
        <w:br/>
      </w:r>
      <w:r w:rsidR="00FC4B14" w:rsidRPr="00FC4B14">
        <w:rPr>
          <w:bCs/>
          <w:sz w:val="20"/>
          <w:szCs w:val="20"/>
        </w:rPr>
        <w:t>w miejscowości Głowienka w km od 0+080</w:t>
      </w:r>
      <w:r w:rsidR="00C444D7">
        <w:rPr>
          <w:bCs/>
          <w:sz w:val="20"/>
          <w:szCs w:val="20"/>
        </w:rPr>
        <w:t xml:space="preserve"> do 0+402</w:t>
      </w:r>
      <w:r w:rsidR="004C6354" w:rsidRPr="00FC4B14">
        <w:rPr>
          <w:sz w:val="20"/>
          <w:szCs w:val="20"/>
        </w:rPr>
        <w:t xml:space="preserve">. </w:t>
      </w:r>
    </w:p>
    <w:p w:rsidR="004C6354" w:rsidRPr="007260FA" w:rsidRDefault="004C6354" w:rsidP="00FA23C1">
      <w:pPr>
        <w:jc w:val="both"/>
        <w:rPr>
          <w:sz w:val="20"/>
          <w:szCs w:val="20"/>
        </w:rPr>
      </w:pPr>
    </w:p>
    <w:p w:rsidR="007C4CDC" w:rsidRDefault="007C4CDC" w:rsidP="007C4CDC">
      <w:pPr>
        <w:tabs>
          <w:tab w:val="left" w:pos="0"/>
        </w:tabs>
        <w:spacing w:line="360" w:lineRule="auto"/>
        <w:jc w:val="both"/>
        <w:rPr>
          <w:b/>
          <w:sz w:val="20"/>
          <w:szCs w:val="20"/>
        </w:rPr>
      </w:pPr>
      <w:r>
        <w:rPr>
          <w:b/>
          <w:sz w:val="20"/>
          <w:szCs w:val="20"/>
        </w:rPr>
        <w:t>1.3. Zakres robót objętych SST</w:t>
      </w:r>
    </w:p>
    <w:p w:rsidR="007C4CDC" w:rsidRDefault="007C4CDC" w:rsidP="007C4CDC">
      <w:pPr>
        <w:tabs>
          <w:tab w:val="left" w:pos="0"/>
          <w:tab w:val="left" w:pos="709"/>
          <w:tab w:val="right" w:pos="8953"/>
        </w:tabs>
        <w:rPr>
          <w:sz w:val="20"/>
          <w:szCs w:val="20"/>
        </w:rPr>
      </w:pPr>
      <w:r>
        <w:rPr>
          <w:b/>
          <w:sz w:val="20"/>
          <w:szCs w:val="20"/>
        </w:rPr>
        <w:tab/>
      </w:r>
      <w:r>
        <w:rPr>
          <w:sz w:val="20"/>
          <w:szCs w:val="20"/>
        </w:rPr>
        <w:t>Ustalenia zawarte w niniejszej SST dotyczą zasad prowadzenia Robót związanych z wykonywaniem podbudowy z kruszywa łamanego stabilizowanego mechanicznie, w następujących przypadkach:</w:t>
      </w:r>
    </w:p>
    <w:p w:rsidR="007C4CDC" w:rsidRDefault="007C4CDC" w:rsidP="007C4CDC">
      <w:pPr>
        <w:numPr>
          <w:ilvl w:val="0"/>
          <w:numId w:val="1"/>
        </w:numPr>
        <w:tabs>
          <w:tab w:val="left" w:pos="0"/>
          <w:tab w:val="right" w:pos="8953"/>
        </w:tabs>
        <w:jc w:val="both"/>
        <w:rPr>
          <w:sz w:val="20"/>
          <w:szCs w:val="20"/>
        </w:rPr>
      </w:pPr>
      <w:r>
        <w:rPr>
          <w:sz w:val="20"/>
          <w:szCs w:val="20"/>
        </w:rPr>
        <w:t>podbudowa pomocnicza o grubości 20cm z kruszywa 0/63mm układana w ciągu drogi wojewódzkiej (KR4),</w:t>
      </w:r>
    </w:p>
    <w:p w:rsidR="007C4CDC" w:rsidRDefault="007C4CDC" w:rsidP="007C4CDC">
      <w:pPr>
        <w:numPr>
          <w:ilvl w:val="0"/>
          <w:numId w:val="1"/>
        </w:numPr>
        <w:tabs>
          <w:tab w:val="left" w:pos="0"/>
          <w:tab w:val="right" w:pos="8953"/>
        </w:tabs>
        <w:jc w:val="both"/>
        <w:rPr>
          <w:sz w:val="20"/>
          <w:szCs w:val="20"/>
        </w:rPr>
      </w:pPr>
      <w:r>
        <w:rPr>
          <w:sz w:val="20"/>
          <w:szCs w:val="20"/>
        </w:rPr>
        <w:t>podbudowa zasadnicza o grubości 15 cm z kruszywa 0/31,5 mm układana na zjazdach publicznych i niepublicznych (KR1).</w:t>
      </w:r>
    </w:p>
    <w:p w:rsidR="007C4CDC" w:rsidRDefault="007C4CDC" w:rsidP="007C4CDC">
      <w:pPr>
        <w:jc w:val="both"/>
        <w:rPr>
          <w:sz w:val="20"/>
          <w:szCs w:val="20"/>
        </w:rPr>
      </w:pPr>
    </w:p>
    <w:p w:rsidR="007C4CDC" w:rsidRDefault="007C4CDC" w:rsidP="007C4CDC">
      <w:pPr>
        <w:jc w:val="both"/>
        <w:rPr>
          <w:b/>
          <w:sz w:val="20"/>
          <w:szCs w:val="20"/>
        </w:rPr>
      </w:pPr>
      <w:r>
        <w:rPr>
          <w:b/>
          <w:sz w:val="20"/>
          <w:szCs w:val="20"/>
        </w:rPr>
        <w:t>1.4. Określenia podstawowe</w:t>
      </w:r>
    </w:p>
    <w:p w:rsidR="007C4CDC" w:rsidRDefault="007C4CDC" w:rsidP="007C4CDC">
      <w:pPr>
        <w:tabs>
          <w:tab w:val="left" w:pos="142"/>
          <w:tab w:val="right" w:pos="8953"/>
        </w:tabs>
        <w:rPr>
          <w:sz w:val="20"/>
          <w:szCs w:val="20"/>
        </w:rPr>
      </w:pPr>
      <w:r>
        <w:rPr>
          <w:sz w:val="20"/>
          <w:szCs w:val="20"/>
        </w:rPr>
        <w:t>1.4.1. Stabilizacja mechaniczna - proces technologiczny, polegający na odpowiednim zagęszczeniu w optymalnej wilgotności kruszywa o właściwie dobranym uziarnieniu.</w:t>
      </w:r>
    </w:p>
    <w:p w:rsidR="007C4CDC" w:rsidRDefault="007C4CDC" w:rsidP="007C4CDC">
      <w:pPr>
        <w:tabs>
          <w:tab w:val="left" w:pos="142"/>
          <w:tab w:val="right" w:pos="8953"/>
        </w:tabs>
        <w:rPr>
          <w:sz w:val="20"/>
          <w:szCs w:val="20"/>
        </w:rPr>
      </w:pPr>
      <w:r>
        <w:rPr>
          <w:sz w:val="20"/>
          <w:szCs w:val="20"/>
        </w:rPr>
        <w:t>1.4.2. Podbudowa z kruszywa łamanego stabilizowanego mechanicznie - jedna lub więcej warstw zagęszczonej mieszanki, która stanowi warstwę nośną nawierzchni drogowej.</w:t>
      </w:r>
    </w:p>
    <w:p w:rsidR="007C4CDC" w:rsidRDefault="007C4CDC" w:rsidP="007C4CDC">
      <w:pPr>
        <w:pStyle w:val="Tekstpodstawowywcity"/>
        <w:tabs>
          <w:tab w:val="left" w:pos="709"/>
        </w:tabs>
        <w:ind w:left="0"/>
        <w:rPr>
          <w:sz w:val="20"/>
          <w:szCs w:val="20"/>
        </w:rPr>
      </w:pPr>
      <w:r>
        <w:rPr>
          <w:sz w:val="20"/>
          <w:szCs w:val="20"/>
        </w:rPr>
        <w:tab/>
        <w:t>Pozostałe określenia podstawowe są zgodne z obowiązującymi, odpowiednimi polskimi normami oraz z definicjami podanymi w SST D-00.00.00 "”Wymagania ogólne" pkt 1.4.</w:t>
      </w:r>
    </w:p>
    <w:p w:rsidR="007C4CDC" w:rsidRDefault="007C4CDC" w:rsidP="007C4CDC">
      <w:pPr>
        <w:jc w:val="both"/>
        <w:rPr>
          <w:b/>
          <w:sz w:val="20"/>
          <w:szCs w:val="20"/>
        </w:rPr>
      </w:pPr>
      <w:r>
        <w:rPr>
          <w:b/>
          <w:sz w:val="20"/>
          <w:szCs w:val="20"/>
        </w:rPr>
        <w:t>1.5. Ogólne wymagania dotyczące robót</w:t>
      </w:r>
    </w:p>
    <w:p w:rsidR="007C4CDC" w:rsidRDefault="007C4CDC" w:rsidP="007C4CDC">
      <w:pPr>
        <w:tabs>
          <w:tab w:val="left" w:pos="0"/>
        </w:tabs>
        <w:jc w:val="both"/>
        <w:rPr>
          <w:sz w:val="20"/>
          <w:szCs w:val="20"/>
        </w:rPr>
      </w:pPr>
      <w:r>
        <w:rPr>
          <w:sz w:val="20"/>
          <w:szCs w:val="20"/>
        </w:rPr>
        <w:tab/>
        <w:t>Ogólne wymagania dotyczące robót podano w SST D-00.00.00 „Wymagania ogólne” pkt 1.5.</w:t>
      </w:r>
    </w:p>
    <w:p w:rsidR="007C4CDC" w:rsidRDefault="007C4CDC" w:rsidP="007C4CDC">
      <w:pPr>
        <w:pStyle w:val="Nagwek1"/>
      </w:pPr>
      <w:r>
        <w:t>2. MATERIAŁY</w:t>
      </w:r>
    </w:p>
    <w:p w:rsidR="007C4CDC" w:rsidRDefault="007C4CDC" w:rsidP="007C4CDC">
      <w:pPr>
        <w:pStyle w:val="Nagwek2"/>
      </w:pPr>
      <w:r>
        <w:t>2.1. Ogólne wymagania dotyczące materiałów</w:t>
      </w:r>
    </w:p>
    <w:p w:rsidR="007C4CDC" w:rsidRDefault="007C4CDC" w:rsidP="007C4CDC">
      <w:pPr>
        <w:jc w:val="both"/>
        <w:rPr>
          <w:sz w:val="20"/>
          <w:szCs w:val="20"/>
        </w:rPr>
      </w:pPr>
      <w:r>
        <w:rPr>
          <w:sz w:val="20"/>
          <w:szCs w:val="20"/>
        </w:rPr>
        <w:tab/>
        <w:t>Ogólne wymagania dotyczące materiałów, ich pozyskiwania i składowania, podano w SST D-00.00.00 „Wymagania ogólne” pkt 2.</w:t>
      </w:r>
    </w:p>
    <w:p w:rsidR="007C4CDC" w:rsidRDefault="007C4CDC" w:rsidP="007C4CDC">
      <w:pPr>
        <w:pStyle w:val="Nagwek2"/>
      </w:pPr>
      <w:r>
        <w:t>2.2. Rodzaje materiałów</w:t>
      </w:r>
    </w:p>
    <w:p w:rsidR="007C4CDC" w:rsidRDefault="007C4CDC" w:rsidP="007C4CDC">
      <w:pPr>
        <w:pStyle w:val="Tekstpodstawowywcity2"/>
        <w:spacing w:after="0" w:line="240" w:lineRule="auto"/>
        <w:ind w:left="284" w:firstLine="709"/>
        <w:rPr>
          <w:sz w:val="20"/>
          <w:szCs w:val="20"/>
        </w:rPr>
      </w:pPr>
      <w:r>
        <w:rPr>
          <w:sz w:val="20"/>
          <w:szCs w:val="20"/>
        </w:rPr>
        <w:tab/>
        <w:t xml:space="preserve">Materiałem do wykonania podbudowy z kruszyw łamanych stabilizowanych mechanicznie powinno być kruszywo łamane, uzyskane w wyniku </w:t>
      </w:r>
      <w:proofErr w:type="spellStart"/>
      <w:r>
        <w:rPr>
          <w:sz w:val="20"/>
          <w:szCs w:val="20"/>
        </w:rPr>
        <w:t>przekruszenia</w:t>
      </w:r>
      <w:proofErr w:type="spellEnd"/>
      <w:r>
        <w:rPr>
          <w:sz w:val="20"/>
          <w:szCs w:val="20"/>
        </w:rPr>
        <w:t xml:space="preserve"> surowca skalnego lub kamieni narzutowych i otoczaków albo </w:t>
      </w:r>
      <w:proofErr w:type="spellStart"/>
      <w:r>
        <w:rPr>
          <w:sz w:val="20"/>
          <w:szCs w:val="20"/>
        </w:rPr>
        <w:t>ziarn</w:t>
      </w:r>
      <w:proofErr w:type="spellEnd"/>
      <w:r>
        <w:rPr>
          <w:sz w:val="20"/>
          <w:szCs w:val="20"/>
        </w:rPr>
        <w:t xml:space="preserve"> żwiru większych od 8 mm. Kruszywo powinno być jednorodne bez zanieczyszczeń obcych i bez domieszek gliny. </w:t>
      </w:r>
    </w:p>
    <w:p w:rsidR="007C4CDC" w:rsidRDefault="007C4CDC" w:rsidP="007C4CDC">
      <w:pPr>
        <w:pStyle w:val="Nagwek2"/>
        <w:keepLines/>
        <w:numPr>
          <w:ilvl w:val="1"/>
          <w:numId w:val="0"/>
        </w:numPr>
        <w:overflowPunct/>
        <w:autoSpaceDE/>
        <w:autoSpaceDN/>
        <w:adjustRightInd/>
        <w:spacing w:before="0" w:after="0"/>
        <w:textAlignment w:val="auto"/>
      </w:pPr>
      <w:r>
        <w:t xml:space="preserve">2.3. Wymagania dla materiałów </w:t>
      </w:r>
    </w:p>
    <w:p w:rsidR="007C4CDC" w:rsidRDefault="007C4CDC" w:rsidP="007C4CDC">
      <w:pPr>
        <w:pStyle w:val="Nagwek3"/>
        <w:spacing w:before="0" w:after="0"/>
      </w:pPr>
      <w:r>
        <w:t>2.3.1 Uziarnienie kruszywa</w:t>
      </w:r>
    </w:p>
    <w:p w:rsidR="007C4CDC" w:rsidRDefault="007C4CDC" w:rsidP="007C4CDC">
      <w:pPr>
        <w:pStyle w:val="Tekstpodstawowywcity2"/>
        <w:spacing w:after="0" w:line="240" w:lineRule="auto"/>
        <w:ind w:left="284"/>
        <w:rPr>
          <w:sz w:val="20"/>
          <w:szCs w:val="20"/>
        </w:rPr>
      </w:pPr>
      <w:r>
        <w:rPr>
          <w:sz w:val="20"/>
          <w:szCs w:val="20"/>
        </w:rPr>
        <w:t>Krzywa uziarnienia kruszywa, określona według PN-B-06714-15 powinna leżeć między krzywymi granicznymi o rzędnych podanych w tablicy 1</w:t>
      </w:r>
    </w:p>
    <w:p w:rsidR="007C4CDC" w:rsidRDefault="007C4CDC" w:rsidP="007C4CDC">
      <w:pPr>
        <w:pStyle w:val="Legenda"/>
        <w:spacing w:before="0" w:after="0"/>
        <w:jc w:val="center"/>
        <w:rPr>
          <w:b w:val="0"/>
        </w:rPr>
      </w:pPr>
      <w:r>
        <w:rPr>
          <w:b w:val="0"/>
        </w:rPr>
        <w:t xml:space="preserve">Tablica </w:t>
      </w:r>
      <w:r w:rsidR="001A1FAE">
        <w:rPr>
          <w:b w:val="0"/>
        </w:rPr>
        <w:fldChar w:fldCharType="begin"/>
      </w:r>
      <w:r>
        <w:rPr>
          <w:b w:val="0"/>
        </w:rPr>
        <w:instrText xml:space="preserve"> SEQ Tabela \* ARABIC </w:instrText>
      </w:r>
      <w:r w:rsidR="001A1FAE">
        <w:rPr>
          <w:b w:val="0"/>
        </w:rPr>
        <w:fldChar w:fldCharType="separate"/>
      </w:r>
      <w:r>
        <w:rPr>
          <w:b w:val="0"/>
          <w:noProof/>
        </w:rPr>
        <w:t>1</w:t>
      </w:r>
      <w:r w:rsidR="001A1FAE">
        <w:rPr>
          <w:b w:val="0"/>
        </w:rPr>
        <w:fldChar w:fldCharType="end"/>
      </w:r>
      <w:r>
        <w:rPr>
          <w:b w:val="0"/>
        </w:rPr>
        <w:t xml:space="preserve"> - Uziarnienie kruszywa łamanego stabilizowanego mechanicznie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1985"/>
        <w:gridCol w:w="2410"/>
        <w:gridCol w:w="2410"/>
      </w:tblGrid>
      <w:tr w:rsidR="007C4CDC" w:rsidTr="00AA11D0">
        <w:trPr>
          <w:jc w:val="center"/>
        </w:trPr>
        <w:tc>
          <w:tcPr>
            <w:tcW w:w="1985" w:type="dxa"/>
            <w:tcBorders>
              <w:bottom w:val="double" w:sz="4" w:space="0" w:color="auto"/>
            </w:tcBorders>
            <w:vAlign w:val="center"/>
          </w:tcPr>
          <w:p w:rsidR="007C4CDC" w:rsidRDefault="007C4CDC" w:rsidP="00AA11D0">
            <w:pPr>
              <w:pStyle w:val="Tabela"/>
              <w:keepNext w:val="0"/>
              <w:jc w:val="center"/>
            </w:pPr>
            <w:r>
              <w:t>Sito kwadratowe</w:t>
            </w:r>
          </w:p>
          <w:p w:rsidR="007C4CDC" w:rsidRDefault="007C4CDC" w:rsidP="00AA11D0">
            <w:pPr>
              <w:pStyle w:val="Tabela"/>
              <w:keepNext w:val="0"/>
              <w:jc w:val="center"/>
            </w:pPr>
            <w:r>
              <w:t>[mm]</w:t>
            </w:r>
          </w:p>
        </w:tc>
        <w:tc>
          <w:tcPr>
            <w:tcW w:w="2410" w:type="dxa"/>
            <w:tcBorders>
              <w:bottom w:val="double" w:sz="4" w:space="0" w:color="auto"/>
            </w:tcBorders>
          </w:tcPr>
          <w:p w:rsidR="007C4CDC" w:rsidRDefault="007C4CDC" w:rsidP="00AA11D0">
            <w:pPr>
              <w:pStyle w:val="Tabela"/>
              <w:keepNext w:val="0"/>
              <w:jc w:val="center"/>
            </w:pPr>
            <w:r>
              <w:t>Przechodzi przez sito</w:t>
            </w:r>
          </w:p>
          <w:p w:rsidR="007C4CDC" w:rsidRDefault="007C4CDC" w:rsidP="00AA11D0">
            <w:pPr>
              <w:pStyle w:val="Tabela"/>
              <w:keepNext w:val="0"/>
              <w:jc w:val="center"/>
            </w:pPr>
            <w:r>
              <w:t>[%] – dla kruszywa 0/31.5 mm</w:t>
            </w:r>
          </w:p>
        </w:tc>
        <w:tc>
          <w:tcPr>
            <w:tcW w:w="2410" w:type="dxa"/>
            <w:tcBorders>
              <w:bottom w:val="double" w:sz="4" w:space="0" w:color="auto"/>
            </w:tcBorders>
            <w:vAlign w:val="center"/>
          </w:tcPr>
          <w:p w:rsidR="007C4CDC" w:rsidRDefault="007C4CDC" w:rsidP="00AA11D0">
            <w:pPr>
              <w:pStyle w:val="Tabela"/>
              <w:keepNext w:val="0"/>
              <w:jc w:val="center"/>
            </w:pPr>
            <w:r>
              <w:t>Przechodzi przez sito</w:t>
            </w:r>
          </w:p>
          <w:p w:rsidR="007C4CDC" w:rsidRDefault="007C4CDC" w:rsidP="00AA11D0">
            <w:pPr>
              <w:pStyle w:val="Tabela"/>
              <w:keepNext w:val="0"/>
              <w:jc w:val="center"/>
            </w:pPr>
            <w:r>
              <w:t>[%] – dla kruszywa 0/63 mm</w:t>
            </w:r>
          </w:p>
        </w:tc>
      </w:tr>
      <w:tr w:rsidR="007C4CDC" w:rsidTr="00AA11D0">
        <w:trPr>
          <w:jc w:val="center"/>
        </w:trPr>
        <w:tc>
          <w:tcPr>
            <w:tcW w:w="1985" w:type="dxa"/>
            <w:tcBorders>
              <w:top w:val="double" w:sz="4" w:space="0" w:color="auto"/>
            </w:tcBorders>
            <w:vAlign w:val="center"/>
          </w:tcPr>
          <w:p w:rsidR="007C4CDC" w:rsidRDefault="007C4CDC" w:rsidP="00AA11D0">
            <w:pPr>
              <w:pStyle w:val="Tabela"/>
              <w:keepNext w:val="0"/>
              <w:jc w:val="center"/>
            </w:pPr>
            <w:r>
              <w:t>63</w:t>
            </w:r>
          </w:p>
        </w:tc>
        <w:tc>
          <w:tcPr>
            <w:tcW w:w="2410" w:type="dxa"/>
            <w:tcBorders>
              <w:top w:val="double" w:sz="4" w:space="0" w:color="auto"/>
            </w:tcBorders>
          </w:tcPr>
          <w:p w:rsidR="007C4CDC" w:rsidRDefault="007C4CDC" w:rsidP="00AA11D0">
            <w:pPr>
              <w:pStyle w:val="Tabela"/>
              <w:keepNext w:val="0"/>
              <w:jc w:val="center"/>
            </w:pPr>
            <w:r>
              <w:t>-</w:t>
            </w:r>
          </w:p>
        </w:tc>
        <w:tc>
          <w:tcPr>
            <w:tcW w:w="2410" w:type="dxa"/>
            <w:tcBorders>
              <w:top w:val="double" w:sz="4" w:space="0" w:color="auto"/>
            </w:tcBorders>
            <w:vAlign w:val="center"/>
          </w:tcPr>
          <w:p w:rsidR="007C4CDC" w:rsidRDefault="007C4CDC" w:rsidP="00AA11D0">
            <w:pPr>
              <w:pStyle w:val="Tabela"/>
              <w:keepNext w:val="0"/>
              <w:jc w:val="center"/>
            </w:pPr>
            <w:r>
              <w:t>100</w:t>
            </w:r>
          </w:p>
        </w:tc>
      </w:tr>
      <w:tr w:rsidR="007C4CDC" w:rsidTr="00AA11D0">
        <w:trPr>
          <w:jc w:val="center"/>
        </w:trPr>
        <w:tc>
          <w:tcPr>
            <w:tcW w:w="1985" w:type="dxa"/>
            <w:vAlign w:val="center"/>
          </w:tcPr>
          <w:p w:rsidR="007C4CDC" w:rsidRDefault="007C4CDC" w:rsidP="00AA11D0">
            <w:pPr>
              <w:pStyle w:val="Tabela"/>
              <w:keepNext w:val="0"/>
              <w:jc w:val="center"/>
            </w:pPr>
            <w:r>
              <w:t>31,5</w:t>
            </w:r>
          </w:p>
        </w:tc>
        <w:tc>
          <w:tcPr>
            <w:tcW w:w="2410" w:type="dxa"/>
          </w:tcPr>
          <w:p w:rsidR="007C4CDC" w:rsidRDefault="007C4CDC" w:rsidP="00AA11D0">
            <w:pPr>
              <w:pStyle w:val="Tabela"/>
              <w:keepNext w:val="0"/>
              <w:jc w:val="center"/>
            </w:pPr>
            <w:r>
              <w:t>100</w:t>
            </w:r>
          </w:p>
        </w:tc>
        <w:tc>
          <w:tcPr>
            <w:tcW w:w="2410" w:type="dxa"/>
            <w:vAlign w:val="center"/>
          </w:tcPr>
          <w:p w:rsidR="007C4CDC" w:rsidRDefault="007C4CDC" w:rsidP="00AA11D0">
            <w:pPr>
              <w:pStyle w:val="Tabela"/>
              <w:keepNext w:val="0"/>
              <w:jc w:val="center"/>
            </w:pPr>
            <w:r>
              <w:t>76 - 100</w:t>
            </w:r>
          </w:p>
        </w:tc>
      </w:tr>
      <w:tr w:rsidR="007C4CDC" w:rsidTr="00AA11D0">
        <w:trPr>
          <w:jc w:val="center"/>
        </w:trPr>
        <w:tc>
          <w:tcPr>
            <w:tcW w:w="1985" w:type="dxa"/>
            <w:vAlign w:val="center"/>
          </w:tcPr>
          <w:p w:rsidR="007C4CDC" w:rsidRDefault="007C4CDC" w:rsidP="00AA11D0">
            <w:pPr>
              <w:pStyle w:val="Tabela"/>
              <w:keepNext w:val="0"/>
              <w:jc w:val="center"/>
            </w:pPr>
            <w:r>
              <w:t>20</w:t>
            </w:r>
          </w:p>
        </w:tc>
        <w:tc>
          <w:tcPr>
            <w:tcW w:w="2410" w:type="dxa"/>
          </w:tcPr>
          <w:p w:rsidR="007C4CDC" w:rsidRDefault="007C4CDC" w:rsidP="00AA11D0">
            <w:pPr>
              <w:pStyle w:val="Tabela"/>
              <w:keepNext w:val="0"/>
              <w:jc w:val="center"/>
            </w:pPr>
            <w:r>
              <w:t>78 - 100</w:t>
            </w:r>
          </w:p>
        </w:tc>
        <w:tc>
          <w:tcPr>
            <w:tcW w:w="2410" w:type="dxa"/>
            <w:vAlign w:val="center"/>
          </w:tcPr>
          <w:p w:rsidR="007C4CDC" w:rsidRDefault="007C4CDC" w:rsidP="00AA11D0">
            <w:pPr>
              <w:pStyle w:val="Tabela"/>
              <w:keepNext w:val="0"/>
              <w:jc w:val="center"/>
            </w:pPr>
            <w:r>
              <w:t>62 - 100</w:t>
            </w:r>
          </w:p>
        </w:tc>
      </w:tr>
      <w:tr w:rsidR="007C4CDC" w:rsidTr="00AA11D0">
        <w:trPr>
          <w:jc w:val="center"/>
        </w:trPr>
        <w:tc>
          <w:tcPr>
            <w:tcW w:w="1985" w:type="dxa"/>
            <w:vAlign w:val="center"/>
          </w:tcPr>
          <w:p w:rsidR="007C4CDC" w:rsidRDefault="007C4CDC" w:rsidP="00AA11D0">
            <w:pPr>
              <w:pStyle w:val="Tabela"/>
              <w:keepNext w:val="0"/>
              <w:jc w:val="center"/>
            </w:pPr>
            <w:r>
              <w:t>16</w:t>
            </w:r>
          </w:p>
        </w:tc>
        <w:tc>
          <w:tcPr>
            <w:tcW w:w="2410" w:type="dxa"/>
          </w:tcPr>
          <w:p w:rsidR="007C4CDC" w:rsidRDefault="007C4CDC" w:rsidP="00AA11D0">
            <w:pPr>
              <w:pStyle w:val="Tabela"/>
              <w:keepNext w:val="0"/>
              <w:jc w:val="center"/>
            </w:pPr>
            <w:r>
              <w:t>70 - 94</w:t>
            </w:r>
          </w:p>
        </w:tc>
        <w:tc>
          <w:tcPr>
            <w:tcW w:w="2410" w:type="dxa"/>
            <w:vAlign w:val="center"/>
          </w:tcPr>
          <w:p w:rsidR="007C4CDC" w:rsidRDefault="007C4CDC" w:rsidP="00AA11D0">
            <w:pPr>
              <w:pStyle w:val="Tabela"/>
              <w:keepNext w:val="0"/>
              <w:jc w:val="center"/>
            </w:pPr>
            <w:r>
              <w:t>56 - 92</w:t>
            </w:r>
          </w:p>
        </w:tc>
      </w:tr>
      <w:tr w:rsidR="007C4CDC" w:rsidTr="00AA11D0">
        <w:trPr>
          <w:jc w:val="center"/>
        </w:trPr>
        <w:tc>
          <w:tcPr>
            <w:tcW w:w="1985" w:type="dxa"/>
            <w:vAlign w:val="center"/>
          </w:tcPr>
          <w:p w:rsidR="007C4CDC" w:rsidRDefault="007C4CDC" w:rsidP="00AA11D0">
            <w:pPr>
              <w:pStyle w:val="Tabela"/>
              <w:keepNext w:val="0"/>
              <w:jc w:val="center"/>
            </w:pPr>
            <w:r>
              <w:t>12,8</w:t>
            </w:r>
          </w:p>
        </w:tc>
        <w:tc>
          <w:tcPr>
            <w:tcW w:w="2410" w:type="dxa"/>
          </w:tcPr>
          <w:p w:rsidR="007C4CDC" w:rsidRDefault="007C4CDC" w:rsidP="00AA11D0">
            <w:pPr>
              <w:pStyle w:val="Tabela"/>
              <w:keepNext w:val="0"/>
              <w:jc w:val="center"/>
            </w:pPr>
            <w:r>
              <w:t>60 - 86</w:t>
            </w:r>
          </w:p>
        </w:tc>
        <w:tc>
          <w:tcPr>
            <w:tcW w:w="2410" w:type="dxa"/>
            <w:vAlign w:val="center"/>
          </w:tcPr>
          <w:p w:rsidR="007C4CDC" w:rsidRDefault="007C4CDC" w:rsidP="00AA11D0">
            <w:pPr>
              <w:pStyle w:val="Tabela"/>
              <w:keepNext w:val="0"/>
              <w:jc w:val="center"/>
            </w:pPr>
            <w:r>
              <w:t>49 - 86</w:t>
            </w:r>
          </w:p>
        </w:tc>
      </w:tr>
      <w:tr w:rsidR="007C4CDC" w:rsidTr="00AA11D0">
        <w:trPr>
          <w:jc w:val="center"/>
        </w:trPr>
        <w:tc>
          <w:tcPr>
            <w:tcW w:w="1985" w:type="dxa"/>
            <w:vAlign w:val="center"/>
          </w:tcPr>
          <w:p w:rsidR="007C4CDC" w:rsidRDefault="007C4CDC" w:rsidP="00AA11D0">
            <w:pPr>
              <w:pStyle w:val="Tabela"/>
              <w:keepNext w:val="0"/>
              <w:jc w:val="center"/>
            </w:pPr>
            <w:r>
              <w:t>8</w:t>
            </w:r>
          </w:p>
        </w:tc>
        <w:tc>
          <w:tcPr>
            <w:tcW w:w="2410" w:type="dxa"/>
          </w:tcPr>
          <w:p w:rsidR="007C4CDC" w:rsidRDefault="007C4CDC" w:rsidP="00AA11D0">
            <w:pPr>
              <w:pStyle w:val="Tabela"/>
              <w:keepNext w:val="0"/>
              <w:jc w:val="center"/>
            </w:pPr>
            <w:r>
              <w:t>50 - 75</w:t>
            </w:r>
          </w:p>
        </w:tc>
        <w:tc>
          <w:tcPr>
            <w:tcW w:w="2410" w:type="dxa"/>
            <w:vAlign w:val="center"/>
          </w:tcPr>
          <w:p w:rsidR="007C4CDC" w:rsidRDefault="007C4CDC" w:rsidP="00AA11D0">
            <w:pPr>
              <w:pStyle w:val="Tabela"/>
              <w:keepNext w:val="0"/>
              <w:jc w:val="center"/>
            </w:pPr>
            <w:r>
              <w:t>40 - 75</w:t>
            </w:r>
          </w:p>
        </w:tc>
      </w:tr>
      <w:tr w:rsidR="007C4CDC" w:rsidTr="00AA11D0">
        <w:trPr>
          <w:jc w:val="center"/>
        </w:trPr>
        <w:tc>
          <w:tcPr>
            <w:tcW w:w="1985" w:type="dxa"/>
            <w:vAlign w:val="center"/>
          </w:tcPr>
          <w:p w:rsidR="007C4CDC" w:rsidRDefault="007C4CDC" w:rsidP="00AA11D0">
            <w:pPr>
              <w:pStyle w:val="Tabela"/>
              <w:keepNext w:val="0"/>
              <w:jc w:val="center"/>
            </w:pPr>
            <w:r>
              <w:lastRenderedPageBreak/>
              <w:t>6,3</w:t>
            </w:r>
          </w:p>
        </w:tc>
        <w:tc>
          <w:tcPr>
            <w:tcW w:w="2410" w:type="dxa"/>
          </w:tcPr>
          <w:p w:rsidR="007C4CDC" w:rsidRDefault="007C4CDC" w:rsidP="00AA11D0">
            <w:pPr>
              <w:pStyle w:val="Tabela"/>
              <w:keepNext w:val="0"/>
              <w:jc w:val="center"/>
            </w:pPr>
            <w:r>
              <w:t>44 - 68</w:t>
            </w:r>
          </w:p>
        </w:tc>
        <w:tc>
          <w:tcPr>
            <w:tcW w:w="2410" w:type="dxa"/>
            <w:vAlign w:val="center"/>
          </w:tcPr>
          <w:p w:rsidR="007C4CDC" w:rsidRDefault="007C4CDC" w:rsidP="00AA11D0">
            <w:pPr>
              <w:pStyle w:val="Tabela"/>
              <w:keepNext w:val="0"/>
              <w:jc w:val="center"/>
            </w:pPr>
            <w:r>
              <w:t>35 - 68</w:t>
            </w:r>
          </w:p>
        </w:tc>
      </w:tr>
      <w:tr w:rsidR="007C4CDC" w:rsidTr="00AA11D0">
        <w:trPr>
          <w:jc w:val="center"/>
        </w:trPr>
        <w:tc>
          <w:tcPr>
            <w:tcW w:w="1985" w:type="dxa"/>
            <w:vAlign w:val="center"/>
          </w:tcPr>
          <w:p w:rsidR="007C4CDC" w:rsidRDefault="007C4CDC" w:rsidP="00AA11D0">
            <w:pPr>
              <w:pStyle w:val="Tabela"/>
              <w:keepNext w:val="0"/>
              <w:jc w:val="center"/>
            </w:pPr>
            <w:r>
              <w:t>4</w:t>
            </w:r>
          </w:p>
        </w:tc>
        <w:tc>
          <w:tcPr>
            <w:tcW w:w="2410" w:type="dxa"/>
          </w:tcPr>
          <w:p w:rsidR="007C4CDC" w:rsidRDefault="007C4CDC" w:rsidP="00AA11D0">
            <w:pPr>
              <w:pStyle w:val="Tabela"/>
              <w:keepNext w:val="0"/>
              <w:jc w:val="center"/>
            </w:pPr>
            <w:r>
              <w:t>37 - 58</w:t>
            </w:r>
          </w:p>
        </w:tc>
        <w:tc>
          <w:tcPr>
            <w:tcW w:w="2410" w:type="dxa"/>
            <w:vAlign w:val="center"/>
          </w:tcPr>
          <w:p w:rsidR="007C4CDC" w:rsidRDefault="007C4CDC" w:rsidP="00AA11D0">
            <w:pPr>
              <w:pStyle w:val="Tabela"/>
              <w:keepNext w:val="0"/>
              <w:jc w:val="center"/>
            </w:pPr>
            <w:r>
              <w:t>28 -58</w:t>
            </w:r>
          </w:p>
        </w:tc>
      </w:tr>
      <w:tr w:rsidR="007C4CDC" w:rsidTr="00AA11D0">
        <w:trPr>
          <w:jc w:val="center"/>
        </w:trPr>
        <w:tc>
          <w:tcPr>
            <w:tcW w:w="1985" w:type="dxa"/>
            <w:vAlign w:val="center"/>
          </w:tcPr>
          <w:p w:rsidR="007C4CDC" w:rsidRDefault="007C4CDC" w:rsidP="00AA11D0">
            <w:pPr>
              <w:pStyle w:val="Tabela"/>
              <w:keepNext w:val="0"/>
              <w:jc w:val="center"/>
            </w:pPr>
            <w:r>
              <w:t>2</w:t>
            </w:r>
          </w:p>
        </w:tc>
        <w:tc>
          <w:tcPr>
            <w:tcW w:w="2410" w:type="dxa"/>
          </w:tcPr>
          <w:p w:rsidR="007C4CDC" w:rsidRDefault="007C4CDC" w:rsidP="00AA11D0">
            <w:pPr>
              <w:pStyle w:val="Tabela"/>
              <w:keepNext w:val="0"/>
              <w:jc w:val="center"/>
            </w:pPr>
            <w:r>
              <w:t>25 - 41</w:t>
            </w:r>
          </w:p>
        </w:tc>
        <w:tc>
          <w:tcPr>
            <w:tcW w:w="2410" w:type="dxa"/>
            <w:vAlign w:val="center"/>
          </w:tcPr>
          <w:p w:rsidR="007C4CDC" w:rsidRDefault="007C4CDC" w:rsidP="00AA11D0">
            <w:pPr>
              <w:pStyle w:val="Tabela"/>
              <w:keepNext w:val="0"/>
              <w:jc w:val="center"/>
            </w:pPr>
            <w:r>
              <w:t>18 - 41</w:t>
            </w:r>
          </w:p>
        </w:tc>
      </w:tr>
      <w:tr w:rsidR="007C4CDC" w:rsidTr="00AA11D0">
        <w:trPr>
          <w:jc w:val="center"/>
        </w:trPr>
        <w:tc>
          <w:tcPr>
            <w:tcW w:w="1985" w:type="dxa"/>
            <w:vAlign w:val="center"/>
          </w:tcPr>
          <w:p w:rsidR="007C4CDC" w:rsidRDefault="007C4CDC" w:rsidP="00AA11D0">
            <w:pPr>
              <w:pStyle w:val="Tabela"/>
              <w:keepNext w:val="0"/>
              <w:jc w:val="center"/>
            </w:pPr>
            <w:r>
              <w:t>1</w:t>
            </w:r>
          </w:p>
        </w:tc>
        <w:tc>
          <w:tcPr>
            <w:tcW w:w="2410" w:type="dxa"/>
          </w:tcPr>
          <w:p w:rsidR="007C4CDC" w:rsidRDefault="007C4CDC" w:rsidP="00AA11D0">
            <w:pPr>
              <w:pStyle w:val="Tabela"/>
              <w:keepNext w:val="0"/>
              <w:jc w:val="center"/>
            </w:pPr>
            <w:r>
              <w:t>18 - 32</w:t>
            </w:r>
          </w:p>
        </w:tc>
        <w:tc>
          <w:tcPr>
            <w:tcW w:w="2410" w:type="dxa"/>
            <w:vAlign w:val="center"/>
          </w:tcPr>
          <w:p w:rsidR="007C4CDC" w:rsidRDefault="007C4CDC" w:rsidP="00AA11D0">
            <w:pPr>
              <w:pStyle w:val="Tabela"/>
              <w:keepNext w:val="0"/>
              <w:jc w:val="center"/>
            </w:pPr>
            <w:r>
              <w:t>13 - 32</w:t>
            </w:r>
          </w:p>
        </w:tc>
      </w:tr>
      <w:tr w:rsidR="007C4CDC" w:rsidTr="00AA11D0">
        <w:trPr>
          <w:jc w:val="center"/>
        </w:trPr>
        <w:tc>
          <w:tcPr>
            <w:tcW w:w="1985" w:type="dxa"/>
            <w:vAlign w:val="center"/>
          </w:tcPr>
          <w:p w:rsidR="007C4CDC" w:rsidRDefault="007C4CDC" w:rsidP="00AA11D0">
            <w:pPr>
              <w:pStyle w:val="Tabela"/>
              <w:keepNext w:val="0"/>
              <w:jc w:val="center"/>
            </w:pPr>
            <w:r>
              <w:t>0,5</w:t>
            </w:r>
          </w:p>
        </w:tc>
        <w:tc>
          <w:tcPr>
            <w:tcW w:w="2410" w:type="dxa"/>
          </w:tcPr>
          <w:p w:rsidR="007C4CDC" w:rsidRDefault="007C4CDC" w:rsidP="00AA11D0">
            <w:pPr>
              <w:pStyle w:val="Tabela"/>
              <w:keepNext w:val="0"/>
              <w:jc w:val="center"/>
            </w:pPr>
            <w:r>
              <w:t>13 - 24</w:t>
            </w:r>
          </w:p>
        </w:tc>
        <w:tc>
          <w:tcPr>
            <w:tcW w:w="2410" w:type="dxa"/>
            <w:vAlign w:val="center"/>
          </w:tcPr>
          <w:p w:rsidR="007C4CDC" w:rsidRDefault="007C4CDC" w:rsidP="00AA11D0">
            <w:pPr>
              <w:pStyle w:val="Tabela"/>
              <w:keepNext w:val="0"/>
              <w:jc w:val="center"/>
            </w:pPr>
            <w:r>
              <w:t>9 - 24</w:t>
            </w:r>
          </w:p>
        </w:tc>
      </w:tr>
      <w:tr w:rsidR="007C4CDC" w:rsidTr="00AA11D0">
        <w:trPr>
          <w:jc w:val="center"/>
        </w:trPr>
        <w:tc>
          <w:tcPr>
            <w:tcW w:w="1985" w:type="dxa"/>
            <w:vAlign w:val="center"/>
          </w:tcPr>
          <w:p w:rsidR="007C4CDC" w:rsidRDefault="007C4CDC" w:rsidP="00AA11D0">
            <w:pPr>
              <w:pStyle w:val="Tabela"/>
              <w:keepNext w:val="0"/>
              <w:jc w:val="center"/>
            </w:pPr>
            <w:r>
              <w:t>0,25</w:t>
            </w:r>
          </w:p>
        </w:tc>
        <w:tc>
          <w:tcPr>
            <w:tcW w:w="2410" w:type="dxa"/>
          </w:tcPr>
          <w:p w:rsidR="007C4CDC" w:rsidRDefault="007C4CDC" w:rsidP="00AA11D0">
            <w:pPr>
              <w:pStyle w:val="Tabela"/>
              <w:keepNext w:val="0"/>
              <w:jc w:val="center"/>
            </w:pPr>
            <w:r>
              <w:t>8 - 16</w:t>
            </w:r>
          </w:p>
        </w:tc>
        <w:tc>
          <w:tcPr>
            <w:tcW w:w="2410" w:type="dxa"/>
            <w:vAlign w:val="center"/>
          </w:tcPr>
          <w:p w:rsidR="007C4CDC" w:rsidRDefault="007C4CDC" w:rsidP="00AA11D0">
            <w:pPr>
              <w:pStyle w:val="Tabela"/>
              <w:keepNext w:val="0"/>
              <w:jc w:val="center"/>
            </w:pPr>
            <w:r>
              <w:t>5 - 16</w:t>
            </w:r>
          </w:p>
        </w:tc>
      </w:tr>
      <w:tr w:rsidR="007C4CDC" w:rsidTr="00AA11D0">
        <w:trPr>
          <w:jc w:val="center"/>
        </w:trPr>
        <w:tc>
          <w:tcPr>
            <w:tcW w:w="1985" w:type="dxa"/>
            <w:vAlign w:val="center"/>
          </w:tcPr>
          <w:p w:rsidR="007C4CDC" w:rsidRDefault="007C4CDC" w:rsidP="00AA11D0">
            <w:pPr>
              <w:pStyle w:val="Tabela"/>
              <w:keepNext w:val="0"/>
              <w:jc w:val="center"/>
            </w:pPr>
            <w:r>
              <w:t>0,125</w:t>
            </w:r>
          </w:p>
        </w:tc>
        <w:tc>
          <w:tcPr>
            <w:tcW w:w="2410" w:type="dxa"/>
          </w:tcPr>
          <w:p w:rsidR="007C4CDC" w:rsidRDefault="007C4CDC" w:rsidP="00AA11D0">
            <w:pPr>
              <w:pStyle w:val="Tabela"/>
              <w:keepNext w:val="0"/>
              <w:jc w:val="center"/>
            </w:pPr>
            <w:r>
              <w:t>4 - 11</w:t>
            </w:r>
          </w:p>
        </w:tc>
        <w:tc>
          <w:tcPr>
            <w:tcW w:w="2410" w:type="dxa"/>
            <w:vAlign w:val="center"/>
          </w:tcPr>
          <w:p w:rsidR="007C4CDC" w:rsidRDefault="007C4CDC" w:rsidP="00AA11D0">
            <w:pPr>
              <w:pStyle w:val="Tabela"/>
              <w:keepNext w:val="0"/>
              <w:jc w:val="center"/>
            </w:pPr>
            <w:r>
              <w:t>4 - 11</w:t>
            </w:r>
          </w:p>
        </w:tc>
      </w:tr>
      <w:tr w:rsidR="007C4CDC" w:rsidTr="00AA11D0">
        <w:trPr>
          <w:jc w:val="center"/>
        </w:trPr>
        <w:tc>
          <w:tcPr>
            <w:tcW w:w="1985" w:type="dxa"/>
            <w:vAlign w:val="center"/>
          </w:tcPr>
          <w:p w:rsidR="007C4CDC" w:rsidRDefault="007C4CDC" w:rsidP="00AA11D0">
            <w:pPr>
              <w:pStyle w:val="Tabela"/>
              <w:keepNext w:val="0"/>
              <w:jc w:val="center"/>
            </w:pPr>
            <w:r>
              <w:t>0,075</w:t>
            </w:r>
          </w:p>
        </w:tc>
        <w:tc>
          <w:tcPr>
            <w:tcW w:w="2410" w:type="dxa"/>
          </w:tcPr>
          <w:p w:rsidR="007C4CDC" w:rsidRDefault="007C4CDC" w:rsidP="00AA11D0">
            <w:pPr>
              <w:pStyle w:val="Tabela"/>
              <w:keepNext w:val="0"/>
              <w:jc w:val="center"/>
            </w:pPr>
            <w:r>
              <w:t>2 - 10</w:t>
            </w:r>
          </w:p>
        </w:tc>
        <w:tc>
          <w:tcPr>
            <w:tcW w:w="2410" w:type="dxa"/>
            <w:vAlign w:val="center"/>
          </w:tcPr>
          <w:p w:rsidR="007C4CDC" w:rsidRDefault="007C4CDC" w:rsidP="00AA11D0">
            <w:pPr>
              <w:pStyle w:val="Tabela"/>
              <w:keepNext w:val="0"/>
              <w:jc w:val="center"/>
            </w:pPr>
            <w:r>
              <w:t>2 - 10</w:t>
            </w:r>
          </w:p>
        </w:tc>
      </w:tr>
    </w:tbl>
    <w:p w:rsidR="007C4CDC" w:rsidRDefault="007C4CDC" w:rsidP="007C4CDC">
      <w:pPr>
        <w:pStyle w:val="Tekstpodstawowywcity2"/>
        <w:spacing w:after="0" w:line="240" w:lineRule="auto"/>
        <w:ind w:left="284" w:firstLine="709"/>
        <w:rPr>
          <w:sz w:val="20"/>
          <w:szCs w:val="20"/>
        </w:rPr>
      </w:pPr>
      <w:r>
        <w:rPr>
          <w:sz w:val="20"/>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C4CDC" w:rsidRDefault="007C4CDC" w:rsidP="007C4CDC">
      <w:pPr>
        <w:tabs>
          <w:tab w:val="left" w:pos="0"/>
          <w:tab w:val="right" w:pos="8953"/>
        </w:tabs>
        <w:rPr>
          <w:sz w:val="20"/>
          <w:szCs w:val="20"/>
        </w:rPr>
      </w:pPr>
    </w:p>
    <w:p w:rsidR="007C4CDC" w:rsidRDefault="007C4CDC" w:rsidP="007C4CDC">
      <w:pPr>
        <w:pStyle w:val="Nagwek3"/>
        <w:tabs>
          <w:tab w:val="left" w:pos="142"/>
        </w:tabs>
        <w:spacing w:before="0" w:after="0"/>
      </w:pPr>
      <w:r>
        <w:tab/>
        <w:t>2.3.2 Właściwości kruszywa</w:t>
      </w:r>
    </w:p>
    <w:p w:rsidR="007C4CDC" w:rsidRDefault="007C4CDC" w:rsidP="007C4CDC">
      <w:pPr>
        <w:pStyle w:val="Tekstpodstawowywcity3"/>
        <w:tabs>
          <w:tab w:val="left" w:pos="0"/>
        </w:tabs>
        <w:rPr>
          <w:sz w:val="20"/>
          <w:szCs w:val="20"/>
        </w:rPr>
      </w:pPr>
      <w:r>
        <w:rPr>
          <w:sz w:val="20"/>
          <w:szCs w:val="20"/>
        </w:rPr>
        <w:t>Kruszywo powinno spełniać wymagania określone w tablicy 2.</w:t>
      </w:r>
    </w:p>
    <w:p w:rsidR="007C4CDC" w:rsidRDefault="007C4CDC" w:rsidP="007C4CDC">
      <w:pPr>
        <w:pStyle w:val="Tekstpodstawowywcity3"/>
        <w:tabs>
          <w:tab w:val="left" w:pos="0"/>
        </w:tabs>
        <w:rPr>
          <w:sz w:val="20"/>
          <w:szCs w:val="20"/>
        </w:rPr>
      </w:pPr>
    </w:p>
    <w:p w:rsidR="007C4CDC" w:rsidRDefault="007C4CDC" w:rsidP="007C4CDC">
      <w:pPr>
        <w:ind w:left="720" w:firstLine="720"/>
        <w:rPr>
          <w:sz w:val="20"/>
          <w:szCs w:val="20"/>
        </w:rPr>
      </w:pPr>
      <w:r>
        <w:rPr>
          <w:sz w:val="20"/>
          <w:szCs w:val="20"/>
        </w:rPr>
        <w:t>Tablica 2.Wymagania dla kruszywa</w:t>
      </w: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3544"/>
        <w:gridCol w:w="1984"/>
        <w:gridCol w:w="1843"/>
      </w:tblGrid>
      <w:tr w:rsidR="007C4CDC" w:rsidTr="00AA11D0">
        <w:trPr>
          <w:cantSplit/>
          <w:trHeight w:val="257"/>
        </w:trPr>
        <w:tc>
          <w:tcPr>
            <w:tcW w:w="567" w:type="dxa"/>
            <w:vMerge w:val="restart"/>
            <w:vAlign w:val="center"/>
          </w:tcPr>
          <w:p w:rsidR="007C4CDC" w:rsidRDefault="007C4CDC" w:rsidP="00AA11D0">
            <w:pPr>
              <w:jc w:val="center"/>
              <w:rPr>
                <w:sz w:val="20"/>
                <w:szCs w:val="20"/>
              </w:rPr>
            </w:pPr>
            <w:proofErr w:type="spellStart"/>
            <w:r>
              <w:rPr>
                <w:sz w:val="20"/>
                <w:szCs w:val="20"/>
              </w:rPr>
              <w:t>Lp</w:t>
            </w:r>
            <w:proofErr w:type="spellEnd"/>
          </w:p>
        </w:tc>
        <w:tc>
          <w:tcPr>
            <w:tcW w:w="3544" w:type="dxa"/>
            <w:vMerge w:val="restart"/>
            <w:vAlign w:val="center"/>
          </w:tcPr>
          <w:p w:rsidR="007C4CDC" w:rsidRDefault="007C4CDC" w:rsidP="00AA11D0">
            <w:pPr>
              <w:rPr>
                <w:sz w:val="20"/>
                <w:szCs w:val="20"/>
              </w:rPr>
            </w:pPr>
            <w:r>
              <w:rPr>
                <w:sz w:val="20"/>
                <w:szCs w:val="20"/>
              </w:rPr>
              <w:t>Wyszczególnienie właściwości</w:t>
            </w:r>
          </w:p>
        </w:tc>
        <w:tc>
          <w:tcPr>
            <w:tcW w:w="1984" w:type="dxa"/>
            <w:vAlign w:val="center"/>
          </w:tcPr>
          <w:p w:rsidR="007C4CDC" w:rsidRDefault="007C4CDC" w:rsidP="00AA11D0">
            <w:pPr>
              <w:jc w:val="center"/>
              <w:rPr>
                <w:sz w:val="20"/>
                <w:szCs w:val="20"/>
              </w:rPr>
            </w:pPr>
            <w:r>
              <w:rPr>
                <w:sz w:val="20"/>
                <w:szCs w:val="20"/>
              </w:rPr>
              <w:t>Wymagania</w:t>
            </w:r>
          </w:p>
        </w:tc>
        <w:tc>
          <w:tcPr>
            <w:tcW w:w="1843" w:type="dxa"/>
            <w:vMerge w:val="restart"/>
            <w:vAlign w:val="center"/>
          </w:tcPr>
          <w:p w:rsidR="007C4CDC" w:rsidRDefault="007C4CDC" w:rsidP="00AA11D0">
            <w:pPr>
              <w:jc w:val="center"/>
              <w:rPr>
                <w:sz w:val="20"/>
                <w:szCs w:val="20"/>
              </w:rPr>
            </w:pPr>
            <w:r>
              <w:rPr>
                <w:sz w:val="20"/>
                <w:szCs w:val="20"/>
              </w:rPr>
              <w:t>Badania według</w:t>
            </w:r>
          </w:p>
        </w:tc>
      </w:tr>
      <w:tr w:rsidR="007C4CDC" w:rsidTr="00AA11D0">
        <w:trPr>
          <w:cantSplit/>
          <w:trHeight w:val="257"/>
        </w:trPr>
        <w:tc>
          <w:tcPr>
            <w:tcW w:w="567" w:type="dxa"/>
            <w:vMerge/>
            <w:vAlign w:val="center"/>
          </w:tcPr>
          <w:p w:rsidR="007C4CDC" w:rsidRDefault="007C4CDC" w:rsidP="00AA11D0">
            <w:pPr>
              <w:jc w:val="center"/>
              <w:rPr>
                <w:sz w:val="20"/>
                <w:szCs w:val="20"/>
              </w:rPr>
            </w:pPr>
          </w:p>
        </w:tc>
        <w:tc>
          <w:tcPr>
            <w:tcW w:w="3544" w:type="dxa"/>
            <w:vMerge/>
            <w:vAlign w:val="center"/>
          </w:tcPr>
          <w:p w:rsidR="007C4CDC" w:rsidRDefault="007C4CDC" w:rsidP="00AA11D0">
            <w:pPr>
              <w:rPr>
                <w:sz w:val="20"/>
                <w:szCs w:val="20"/>
              </w:rPr>
            </w:pPr>
          </w:p>
        </w:tc>
        <w:tc>
          <w:tcPr>
            <w:tcW w:w="1984" w:type="dxa"/>
            <w:vAlign w:val="center"/>
          </w:tcPr>
          <w:p w:rsidR="007C4CDC" w:rsidRDefault="007C4CDC" w:rsidP="00AA11D0">
            <w:pPr>
              <w:jc w:val="center"/>
              <w:rPr>
                <w:sz w:val="20"/>
                <w:szCs w:val="20"/>
              </w:rPr>
            </w:pPr>
            <w:r>
              <w:rPr>
                <w:sz w:val="20"/>
                <w:szCs w:val="20"/>
              </w:rPr>
              <w:t>Podbudowa zasadnicza</w:t>
            </w:r>
          </w:p>
        </w:tc>
        <w:tc>
          <w:tcPr>
            <w:tcW w:w="1843" w:type="dxa"/>
            <w:vMerge/>
            <w:vAlign w:val="center"/>
          </w:tcPr>
          <w:p w:rsidR="007C4CDC" w:rsidRDefault="007C4CDC" w:rsidP="00AA11D0">
            <w:pPr>
              <w:jc w:val="center"/>
              <w:rPr>
                <w:sz w:val="20"/>
                <w:szCs w:val="20"/>
              </w:rPr>
            </w:pPr>
          </w:p>
        </w:tc>
      </w:tr>
      <w:tr w:rsidR="007C4CDC" w:rsidTr="00AA11D0">
        <w:trPr>
          <w:cantSplit/>
          <w:trHeight w:val="482"/>
        </w:trPr>
        <w:tc>
          <w:tcPr>
            <w:tcW w:w="567" w:type="dxa"/>
          </w:tcPr>
          <w:p w:rsidR="007C4CDC" w:rsidRDefault="007C4CDC" w:rsidP="00AA11D0">
            <w:pPr>
              <w:jc w:val="center"/>
              <w:rPr>
                <w:sz w:val="20"/>
                <w:szCs w:val="20"/>
              </w:rPr>
            </w:pPr>
            <w:r>
              <w:rPr>
                <w:sz w:val="20"/>
                <w:szCs w:val="20"/>
              </w:rPr>
              <w:t>1</w:t>
            </w:r>
          </w:p>
        </w:tc>
        <w:tc>
          <w:tcPr>
            <w:tcW w:w="3544" w:type="dxa"/>
          </w:tcPr>
          <w:p w:rsidR="007C4CDC" w:rsidRDefault="007C4CDC" w:rsidP="00AA11D0">
            <w:pPr>
              <w:rPr>
                <w:sz w:val="20"/>
                <w:szCs w:val="20"/>
              </w:rPr>
            </w:pPr>
            <w:r>
              <w:rPr>
                <w:sz w:val="20"/>
                <w:szCs w:val="20"/>
              </w:rPr>
              <w:t xml:space="preserve">Zawartość </w:t>
            </w:r>
            <w:proofErr w:type="spellStart"/>
            <w:r>
              <w:rPr>
                <w:sz w:val="20"/>
                <w:szCs w:val="20"/>
              </w:rPr>
              <w:t>ziarn</w:t>
            </w:r>
            <w:proofErr w:type="spellEnd"/>
            <w:r>
              <w:rPr>
                <w:sz w:val="20"/>
                <w:szCs w:val="20"/>
              </w:rPr>
              <w:t xml:space="preserve"> mniejszych niż 0,075 mm, % (m/m)</w:t>
            </w:r>
          </w:p>
        </w:tc>
        <w:tc>
          <w:tcPr>
            <w:tcW w:w="1984" w:type="dxa"/>
          </w:tcPr>
          <w:p w:rsidR="007C4CDC" w:rsidRDefault="007C4CDC" w:rsidP="00AA11D0">
            <w:pPr>
              <w:jc w:val="center"/>
              <w:rPr>
                <w:sz w:val="20"/>
                <w:szCs w:val="20"/>
              </w:rPr>
            </w:pPr>
            <w:r>
              <w:rPr>
                <w:sz w:val="20"/>
                <w:szCs w:val="20"/>
              </w:rPr>
              <w:t>od 2</w:t>
            </w:r>
          </w:p>
          <w:p w:rsidR="007C4CDC" w:rsidRDefault="007C4CDC" w:rsidP="00AA11D0">
            <w:pPr>
              <w:jc w:val="center"/>
              <w:rPr>
                <w:sz w:val="20"/>
                <w:szCs w:val="20"/>
              </w:rPr>
            </w:pPr>
            <w:r>
              <w:rPr>
                <w:sz w:val="20"/>
                <w:szCs w:val="20"/>
              </w:rPr>
              <w:t>do 10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PN-B-06714-l5 </w:t>
            </w:r>
          </w:p>
        </w:tc>
      </w:tr>
      <w:tr w:rsidR="007C4CDC" w:rsidTr="00AA11D0">
        <w:trPr>
          <w:cantSplit/>
          <w:trHeight w:val="419"/>
        </w:trPr>
        <w:tc>
          <w:tcPr>
            <w:tcW w:w="567" w:type="dxa"/>
          </w:tcPr>
          <w:p w:rsidR="007C4CDC" w:rsidRDefault="007C4CDC" w:rsidP="00AA11D0">
            <w:pPr>
              <w:jc w:val="center"/>
              <w:rPr>
                <w:sz w:val="20"/>
                <w:szCs w:val="20"/>
              </w:rPr>
            </w:pPr>
            <w:r>
              <w:rPr>
                <w:sz w:val="20"/>
                <w:szCs w:val="20"/>
              </w:rPr>
              <w:t>2</w:t>
            </w:r>
          </w:p>
        </w:tc>
        <w:tc>
          <w:tcPr>
            <w:tcW w:w="3544" w:type="dxa"/>
          </w:tcPr>
          <w:p w:rsidR="007C4CDC" w:rsidRDefault="007C4CDC" w:rsidP="00AA11D0">
            <w:pPr>
              <w:rPr>
                <w:sz w:val="20"/>
                <w:szCs w:val="20"/>
              </w:rPr>
            </w:pPr>
            <w:r>
              <w:rPr>
                <w:sz w:val="20"/>
                <w:szCs w:val="20"/>
              </w:rPr>
              <w:t>Zawartość nadziarna, % (m/m), nie więcej niż</w:t>
            </w:r>
          </w:p>
        </w:tc>
        <w:tc>
          <w:tcPr>
            <w:tcW w:w="1984" w:type="dxa"/>
            <w:vAlign w:val="center"/>
          </w:tcPr>
          <w:p w:rsidR="007C4CDC" w:rsidRDefault="007C4CDC" w:rsidP="00AA11D0">
            <w:pPr>
              <w:jc w:val="center"/>
              <w:rPr>
                <w:sz w:val="20"/>
                <w:szCs w:val="20"/>
              </w:rPr>
            </w:pPr>
            <w:r>
              <w:rPr>
                <w:sz w:val="20"/>
                <w:szCs w:val="20"/>
              </w:rPr>
              <w:t>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PN-B-06714-15 </w:t>
            </w:r>
          </w:p>
        </w:tc>
      </w:tr>
      <w:tr w:rsidR="007C4CDC" w:rsidTr="00AA11D0">
        <w:trPr>
          <w:cantSplit/>
          <w:trHeight w:val="525"/>
        </w:trPr>
        <w:tc>
          <w:tcPr>
            <w:tcW w:w="567" w:type="dxa"/>
          </w:tcPr>
          <w:p w:rsidR="007C4CDC" w:rsidRDefault="007C4CDC" w:rsidP="00AA11D0">
            <w:pPr>
              <w:jc w:val="center"/>
              <w:rPr>
                <w:sz w:val="20"/>
                <w:szCs w:val="20"/>
              </w:rPr>
            </w:pPr>
            <w:r>
              <w:rPr>
                <w:sz w:val="20"/>
                <w:szCs w:val="20"/>
              </w:rPr>
              <w:t>3</w:t>
            </w:r>
          </w:p>
        </w:tc>
        <w:tc>
          <w:tcPr>
            <w:tcW w:w="3544" w:type="dxa"/>
          </w:tcPr>
          <w:p w:rsidR="007C4CDC" w:rsidRDefault="007C4CDC" w:rsidP="00AA11D0">
            <w:pPr>
              <w:rPr>
                <w:sz w:val="20"/>
                <w:szCs w:val="20"/>
              </w:rPr>
            </w:pPr>
            <w:r>
              <w:rPr>
                <w:sz w:val="20"/>
                <w:szCs w:val="20"/>
              </w:rPr>
              <w:t xml:space="preserve">Zawartość </w:t>
            </w:r>
            <w:proofErr w:type="spellStart"/>
            <w:r>
              <w:rPr>
                <w:sz w:val="20"/>
                <w:szCs w:val="20"/>
              </w:rPr>
              <w:t>ziarn</w:t>
            </w:r>
            <w:proofErr w:type="spellEnd"/>
            <w:r>
              <w:rPr>
                <w:sz w:val="20"/>
                <w:szCs w:val="20"/>
              </w:rPr>
              <w:t xml:space="preserve"> nieforemnych, % (m/m), nie więcej niż</w:t>
            </w:r>
          </w:p>
        </w:tc>
        <w:tc>
          <w:tcPr>
            <w:tcW w:w="1984" w:type="dxa"/>
            <w:vAlign w:val="center"/>
          </w:tcPr>
          <w:p w:rsidR="007C4CDC" w:rsidRDefault="007C4CDC" w:rsidP="00AA11D0">
            <w:pPr>
              <w:jc w:val="center"/>
              <w:rPr>
                <w:sz w:val="20"/>
                <w:szCs w:val="20"/>
              </w:rPr>
            </w:pPr>
            <w:r>
              <w:rPr>
                <w:sz w:val="20"/>
                <w:szCs w:val="20"/>
              </w:rPr>
              <w:t>35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PN-B-06714-16 </w:t>
            </w:r>
          </w:p>
        </w:tc>
      </w:tr>
      <w:tr w:rsidR="007C4CDC" w:rsidTr="00AA11D0">
        <w:trPr>
          <w:cantSplit/>
          <w:trHeight w:val="547"/>
        </w:trPr>
        <w:tc>
          <w:tcPr>
            <w:tcW w:w="567" w:type="dxa"/>
          </w:tcPr>
          <w:p w:rsidR="007C4CDC" w:rsidRDefault="007C4CDC" w:rsidP="00AA11D0">
            <w:pPr>
              <w:jc w:val="center"/>
              <w:rPr>
                <w:sz w:val="20"/>
                <w:szCs w:val="20"/>
              </w:rPr>
            </w:pPr>
            <w:r>
              <w:rPr>
                <w:sz w:val="20"/>
                <w:szCs w:val="20"/>
              </w:rPr>
              <w:t>4</w:t>
            </w:r>
          </w:p>
        </w:tc>
        <w:tc>
          <w:tcPr>
            <w:tcW w:w="3544" w:type="dxa"/>
            <w:vAlign w:val="center"/>
          </w:tcPr>
          <w:p w:rsidR="007C4CDC" w:rsidRDefault="007C4CDC" w:rsidP="00AA11D0">
            <w:pPr>
              <w:pStyle w:val="Tabela"/>
              <w:keepNext w:val="0"/>
              <w:jc w:val="both"/>
            </w:pPr>
            <w:r>
              <w:t>Zawartość zanieczyszczeń organicznych</w:t>
            </w:r>
          </w:p>
        </w:tc>
        <w:tc>
          <w:tcPr>
            <w:tcW w:w="1984" w:type="dxa"/>
            <w:vAlign w:val="center"/>
          </w:tcPr>
          <w:p w:rsidR="007C4CDC" w:rsidRDefault="007C4CDC" w:rsidP="00AA11D0">
            <w:pPr>
              <w:jc w:val="center"/>
              <w:rPr>
                <w:sz w:val="20"/>
                <w:szCs w:val="20"/>
              </w:rPr>
            </w:pPr>
            <w:r>
              <w:rPr>
                <w:sz w:val="20"/>
                <w:szCs w:val="20"/>
              </w:rPr>
              <w:t>barwa nie ciemniejsza niż wzorcowa</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PN-B-06714-26 </w:t>
            </w:r>
          </w:p>
        </w:tc>
      </w:tr>
      <w:tr w:rsidR="007C4CDC" w:rsidTr="00AA11D0">
        <w:trPr>
          <w:cantSplit/>
          <w:trHeight w:val="708"/>
        </w:trPr>
        <w:tc>
          <w:tcPr>
            <w:tcW w:w="567" w:type="dxa"/>
          </w:tcPr>
          <w:p w:rsidR="007C4CDC" w:rsidRDefault="007C4CDC" w:rsidP="00AA11D0">
            <w:pPr>
              <w:jc w:val="center"/>
              <w:rPr>
                <w:sz w:val="20"/>
                <w:szCs w:val="20"/>
              </w:rPr>
            </w:pPr>
            <w:r>
              <w:rPr>
                <w:sz w:val="20"/>
                <w:szCs w:val="20"/>
              </w:rPr>
              <w:t>5</w:t>
            </w:r>
          </w:p>
        </w:tc>
        <w:tc>
          <w:tcPr>
            <w:tcW w:w="3544" w:type="dxa"/>
          </w:tcPr>
          <w:p w:rsidR="007C4CDC" w:rsidRDefault="007C4CDC" w:rsidP="00AA11D0">
            <w:pPr>
              <w:rPr>
                <w:sz w:val="20"/>
                <w:szCs w:val="20"/>
              </w:rPr>
            </w:pPr>
            <w:r>
              <w:rPr>
                <w:sz w:val="20"/>
                <w:szCs w:val="20"/>
              </w:rPr>
              <w:t>Wskaźnik piaskowy po pięciokrotnym zagęszczeniu metodą I lub II wg PN-B-04481, %</w:t>
            </w:r>
          </w:p>
        </w:tc>
        <w:tc>
          <w:tcPr>
            <w:tcW w:w="1984" w:type="dxa"/>
            <w:vAlign w:val="center"/>
          </w:tcPr>
          <w:p w:rsidR="007C4CDC" w:rsidRDefault="007C4CDC" w:rsidP="00AA11D0">
            <w:pPr>
              <w:jc w:val="center"/>
              <w:rPr>
                <w:sz w:val="20"/>
                <w:szCs w:val="20"/>
              </w:rPr>
            </w:pPr>
            <w:r>
              <w:rPr>
                <w:sz w:val="20"/>
                <w:szCs w:val="20"/>
              </w:rPr>
              <w:t>od 30</w:t>
            </w:r>
          </w:p>
          <w:p w:rsidR="007C4CDC" w:rsidRDefault="007C4CDC" w:rsidP="00AA11D0">
            <w:pPr>
              <w:jc w:val="center"/>
              <w:rPr>
                <w:sz w:val="20"/>
                <w:szCs w:val="20"/>
              </w:rPr>
            </w:pPr>
            <w:r>
              <w:rPr>
                <w:sz w:val="20"/>
                <w:szCs w:val="20"/>
              </w:rPr>
              <w:t>do 70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BN-64/8931-01 </w:t>
            </w:r>
          </w:p>
        </w:tc>
      </w:tr>
      <w:tr w:rsidR="007C4CDC" w:rsidTr="00AA11D0">
        <w:trPr>
          <w:cantSplit/>
          <w:trHeight w:val="1259"/>
        </w:trPr>
        <w:tc>
          <w:tcPr>
            <w:tcW w:w="567" w:type="dxa"/>
          </w:tcPr>
          <w:p w:rsidR="007C4CDC" w:rsidRDefault="007C4CDC" w:rsidP="00AA11D0">
            <w:pPr>
              <w:jc w:val="center"/>
              <w:rPr>
                <w:sz w:val="20"/>
                <w:szCs w:val="20"/>
              </w:rPr>
            </w:pPr>
            <w:r>
              <w:rPr>
                <w:sz w:val="20"/>
                <w:szCs w:val="20"/>
              </w:rPr>
              <w:t>6</w:t>
            </w:r>
          </w:p>
        </w:tc>
        <w:tc>
          <w:tcPr>
            <w:tcW w:w="3544" w:type="dxa"/>
            <w:vAlign w:val="center"/>
          </w:tcPr>
          <w:p w:rsidR="007C4CDC" w:rsidRDefault="007C4CDC" w:rsidP="00AA11D0">
            <w:pPr>
              <w:rPr>
                <w:sz w:val="20"/>
                <w:szCs w:val="20"/>
              </w:rPr>
            </w:pPr>
            <w:r>
              <w:rPr>
                <w:sz w:val="20"/>
                <w:szCs w:val="20"/>
              </w:rPr>
              <w:t xml:space="preserve">Ścieralność w bębnie Los Angeles </w:t>
            </w:r>
          </w:p>
          <w:p w:rsidR="007C4CDC" w:rsidRDefault="007C4CDC" w:rsidP="007C4CDC">
            <w:pPr>
              <w:numPr>
                <w:ilvl w:val="0"/>
                <w:numId w:val="2"/>
              </w:numPr>
              <w:jc w:val="both"/>
              <w:rPr>
                <w:sz w:val="20"/>
                <w:szCs w:val="20"/>
              </w:rPr>
            </w:pPr>
            <w:r>
              <w:rPr>
                <w:sz w:val="20"/>
                <w:szCs w:val="20"/>
              </w:rPr>
              <w:t>ścieralność całkowita po pełnej liczbie obrotów, nie więcej niż</w:t>
            </w:r>
          </w:p>
          <w:p w:rsidR="007C4CDC" w:rsidRDefault="007C4CDC" w:rsidP="007C4CDC">
            <w:pPr>
              <w:numPr>
                <w:ilvl w:val="0"/>
                <w:numId w:val="2"/>
              </w:numPr>
              <w:jc w:val="both"/>
              <w:rPr>
                <w:sz w:val="20"/>
                <w:szCs w:val="20"/>
              </w:rPr>
            </w:pPr>
            <w:r>
              <w:rPr>
                <w:sz w:val="20"/>
                <w:szCs w:val="20"/>
              </w:rPr>
              <w:t>ścieralność częściowa po 1/5 pełnej liczby obrotów w stosunku do ścieralności całkowitej, nie więcej niż</w:t>
            </w:r>
          </w:p>
        </w:tc>
        <w:tc>
          <w:tcPr>
            <w:tcW w:w="1984" w:type="dxa"/>
            <w:vAlign w:val="center"/>
          </w:tcPr>
          <w:p w:rsidR="007C4CDC" w:rsidRDefault="007C4CDC" w:rsidP="00AA11D0">
            <w:pPr>
              <w:rPr>
                <w:sz w:val="20"/>
                <w:szCs w:val="20"/>
              </w:rPr>
            </w:pPr>
          </w:p>
          <w:p w:rsidR="007C4CDC" w:rsidRDefault="007C4CDC" w:rsidP="00AA11D0">
            <w:pPr>
              <w:jc w:val="center"/>
              <w:rPr>
                <w:sz w:val="20"/>
                <w:szCs w:val="20"/>
              </w:rPr>
            </w:pPr>
            <w:r>
              <w:rPr>
                <w:sz w:val="20"/>
                <w:szCs w:val="20"/>
              </w:rPr>
              <w:t>35</w:t>
            </w:r>
          </w:p>
          <w:p w:rsidR="007C4CDC" w:rsidRDefault="007C4CDC" w:rsidP="00AA11D0">
            <w:pPr>
              <w:jc w:val="center"/>
              <w:rPr>
                <w:sz w:val="20"/>
                <w:szCs w:val="20"/>
              </w:rPr>
            </w:pPr>
          </w:p>
          <w:p w:rsidR="007C4CDC" w:rsidRDefault="007C4CDC" w:rsidP="00AA11D0">
            <w:pPr>
              <w:rPr>
                <w:sz w:val="20"/>
                <w:szCs w:val="20"/>
              </w:rPr>
            </w:pPr>
          </w:p>
          <w:p w:rsidR="007C4CDC" w:rsidRDefault="007C4CDC" w:rsidP="00AA11D0">
            <w:pPr>
              <w:jc w:val="center"/>
              <w:rPr>
                <w:sz w:val="20"/>
                <w:szCs w:val="20"/>
              </w:rPr>
            </w:pPr>
            <w:r>
              <w:rPr>
                <w:sz w:val="20"/>
                <w:szCs w:val="20"/>
              </w:rPr>
              <w:t>30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PN-B-06714-42 </w:t>
            </w:r>
          </w:p>
        </w:tc>
      </w:tr>
      <w:tr w:rsidR="007C4CDC" w:rsidTr="00AA11D0">
        <w:trPr>
          <w:cantSplit/>
          <w:trHeight w:val="554"/>
        </w:trPr>
        <w:tc>
          <w:tcPr>
            <w:tcW w:w="567" w:type="dxa"/>
            <w:vAlign w:val="center"/>
          </w:tcPr>
          <w:p w:rsidR="007C4CDC" w:rsidRDefault="007C4CDC" w:rsidP="00AA11D0">
            <w:pPr>
              <w:jc w:val="center"/>
              <w:rPr>
                <w:sz w:val="20"/>
                <w:szCs w:val="20"/>
              </w:rPr>
            </w:pPr>
            <w:r>
              <w:rPr>
                <w:sz w:val="20"/>
                <w:szCs w:val="20"/>
              </w:rPr>
              <w:t>7</w:t>
            </w:r>
          </w:p>
        </w:tc>
        <w:tc>
          <w:tcPr>
            <w:tcW w:w="3544" w:type="dxa"/>
            <w:vAlign w:val="center"/>
          </w:tcPr>
          <w:p w:rsidR="007C4CDC" w:rsidRDefault="007C4CDC" w:rsidP="00AA11D0">
            <w:pPr>
              <w:rPr>
                <w:sz w:val="20"/>
                <w:szCs w:val="20"/>
              </w:rPr>
            </w:pPr>
            <w:r>
              <w:rPr>
                <w:sz w:val="20"/>
                <w:szCs w:val="20"/>
              </w:rPr>
              <w:t>Nasiąkliwość, % (m/m), nie wiece niż</w:t>
            </w:r>
          </w:p>
        </w:tc>
        <w:tc>
          <w:tcPr>
            <w:tcW w:w="1984" w:type="dxa"/>
            <w:vAlign w:val="center"/>
          </w:tcPr>
          <w:p w:rsidR="007C4CDC" w:rsidRDefault="007C4CDC" w:rsidP="00AA11D0">
            <w:pPr>
              <w:jc w:val="center"/>
              <w:rPr>
                <w:sz w:val="20"/>
                <w:szCs w:val="20"/>
              </w:rPr>
            </w:pPr>
            <w:r>
              <w:rPr>
                <w:sz w:val="20"/>
                <w:szCs w:val="20"/>
              </w:rPr>
              <w:t>3</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PN-B-06714-18 </w:t>
            </w:r>
          </w:p>
        </w:tc>
      </w:tr>
      <w:tr w:rsidR="007C4CDC" w:rsidTr="00AA11D0">
        <w:trPr>
          <w:cantSplit/>
          <w:trHeight w:val="690"/>
        </w:trPr>
        <w:tc>
          <w:tcPr>
            <w:tcW w:w="567" w:type="dxa"/>
          </w:tcPr>
          <w:p w:rsidR="007C4CDC" w:rsidRDefault="007C4CDC" w:rsidP="00AA11D0">
            <w:pPr>
              <w:jc w:val="center"/>
              <w:rPr>
                <w:sz w:val="20"/>
                <w:szCs w:val="20"/>
              </w:rPr>
            </w:pPr>
            <w:r>
              <w:rPr>
                <w:sz w:val="20"/>
                <w:szCs w:val="20"/>
              </w:rPr>
              <w:t>8</w:t>
            </w:r>
          </w:p>
        </w:tc>
        <w:tc>
          <w:tcPr>
            <w:tcW w:w="3544" w:type="dxa"/>
          </w:tcPr>
          <w:p w:rsidR="007C4CDC" w:rsidRDefault="007C4CDC" w:rsidP="00AA11D0">
            <w:pPr>
              <w:rPr>
                <w:sz w:val="20"/>
                <w:szCs w:val="20"/>
              </w:rPr>
            </w:pPr>
            <w:r>
              <w:rPr>
                <w:sz w:val="20"/>
                <w:szCs w:val="20"/>
              </w:rPr>
              <w:t>Mrozoodporność, ubytek masy po 25 cyklach zamrażania. % (m/m), nie więcej niż</w:t>
            </w:r>
          </w:p>
        </w:tc>
        <w:tc>
          <w:tcPr>
            <w:tcW w:w="1984" w:type="dxa"/>
            <w:vAlign w:val="center"/>
          </w:tcPr>
          <w:p w:rsidR="007C4CDC" w:rsidRDefault="007C4CDC" w:rsidP="00AA11D0">
            <w:pPr>
              <w:jc w:val="center"/>
              <w:rPr>
                <w:sz w:val="20"/>
                <w:szCs w:val="20"/>
              </w:rPr>
            </w:pPr>
            <w:r>
              <w:rPr>
                <w:sz w:val="20"/>
                <w:szCs w:val="20"/>
              </w:rPr>
              <w:t>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PN-B-06714-19 </w:t>
            </w:r>
          </w:p>
        </w:tc>
      </w:tr>
      <w:tr w:rsidR="007C4CDC" w:rsidTr="00AA11D0">
        <w:trPr>
          <w:cantSplit/>
          <w:trHeight w:val="628"/>
        </w:trPr>
        <w:tc>
          <w:tcPr>
            <w:tcW w:w="567" w:type="dxa"/>
          </w:tcPr>
          <w:p w:rsidR="007C4CDC" w:rsidRDefault="007C4CDC" w:rsidP="00AA11D0">
            <w:pPr>
              <w:jc w:val="center"/>
              <w:rPr>
                <w:sz w:val="20"/>
                <w:szCs w:val="20"/>
              </w:rPr>
            </w:pPr>
            <w:r>
              <w:rPr>
                <w:sz w:val="20"/>
                <w:szCs w:val="20"/>
              </w:rPr>
              <w:t>9</w:t>
            </w:r>
          </w:p>
        </w:tc>
        <w:tc>
          <w:tcPr>
            <w:tcW w:w="3544" w:type="dxa"/>
          </w:tcPr>
          <w:p w:rsidR="007C4CDC" w:rsidRDefault="007C4CDC" w:rsidP="00AA11D0">
            <w:pPr>
              <w:rPr>
                <w:sz w:val="20"/>
                <w:szCs w:val="20"/>
              </w:rPr>
            </w:pPr>
            <w:r>
              <w:rPr>
                <w:sz w:val="20"/>
                <w:szCs w:val="20"/>
              </w:rPr>
              <w:t>Zawartość związków siarki w przeliczeniu na SO3 %(m/m), nie więcej niż</w:t>
            </w:r>
          </w:p>
        </w:tc>
        <w:tc>
          <w:tcPr>
            <w:tcW w:w="1984" w:type="dxa"/>
            <w:vAlign w:val="center"/>
          </w:tcPr>
          <w:p w:rsidR="007C4CDC" w:rsidRDefault="007C4CDC" w:rsidP="00AA11D0">
            <w:pPr>
              <w:jc w:val="center"/>
              <w:rPr>
                <w:sz w:val="20"/>
                <w:szCs w:val="20"/>
              </w:rPr>
            </w:pPr>
            <w:r>
              <w:rPr>
                <w:sz w:val="20"/>
                <w:szCs w:val="20"/>
              </w:rPr>
              <w:t>1</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PN-B-06714-28 </w:t>
            </w:r>
          </w:p>
        </w:tc>
      </w:tr>
      <w:tr w:rsidR="007C4CDC" w:rsidTr="00AA11D0">
        <w:trPr>
          <w:cantSplit/>
          <w:trHeight w:val="1272"/>
        </w:trPr>
        <w:tc>
          <w:tcPr>
            <w:tcW w:w="567" w:type="dxa"/>
          </w:tcPr>
          <w:p w:rsidR="007C4CDC" w:rsidRDefault="007C4CDC" w:rsidP="00AA11D0">
            <w:pPr>
              <w:jc w:val="center"/>
              <w:rPr>
                <w:sz w:val="20"/>
                <w:szCs w:val="20"/>
              </w:rPr>
            </w:pPr>
            <w:r>
              <w:rPr>
                <w:sz w:val="20"/>
                <w:szCs w:val="20"/>
              </w:rPr>
              <w:t>10</w:t>
            </w:r>
          </w:p>
        </w:tc>
        <w:tc>
          <w:tcPr>
            <w:tcW w:w="3544" w:type="dxa"/>
            <w:vAlign w:val="center"/>
          </w:tcPr>
          <w:p w:rsidR="007C4CDC" w:rsidRDefault="007C4CDC" w:rsidP="00AA11D0">
            <w:pPr>
              <w:rPr>
                <w:sz w:val="20"/>
                <w:szCs w:val="20"/>
              </w:rPr>
            </w:pPr>
            <w:r>
              <w:rPr>
                <w:sz w:val="20"/>
                <w:szCs w:val="20"/>
              </w:rPr>
              <w:t>Wskaźnik nośności wnoś mieszanki kruszywa, %, nie mniejszy niż:</w:t>
            </w:r>
          </w:p>
          <w:p w:rsidR="007C4CDC" w:rsidRDefault="007C4CDC" w:rsidP="007C4CDC">
            <w:pPr>
              <w:numPr>
                <w:ilvl w:val="0"/>
                <w:numId w:val="3"/>
              </w:numPr>
              <w:jc w:val="both"/>
              <w:rPr>
                <w:sz w:val="20"/>
                <w:szCs w:val="20"/>
              </w:rPr>
            </w:pPr>
            <w:r>
              <w:rPr>
                <w:sz w:val="20"/>
                <w:szCs w:val="20"/>
              </w:rPr>
              <w:t xml:space="preserve">przy zagęszczeniu </w:t>
            </w:r>
            <w:proofErr w:type="spellStart"/>
            <w:r>
              <w:rPr>
                <w:sz w:val="20"/>
                <w:szCs w:val="20"/>
              </w:rPr>
              <w:t>Is</w:t>
            </w:r>
            <w:proofErr w:type="spellEnd"/>
            <w:r>
              <w:rPr>
                <w:sz w:val="20"/>
                <w:szCs w:val="20"/>
              </w:rPr>
              <w:sym w:font="Symbol" w:char="F0B3"/>
            </w:r>
            <w:r>
              <w:rPr>
                <w:sz w:val="20"/>
                <w:szCs w:val="20"/>
              </w:rPr>
              <w:t xml:space="preserve"> 1,03</w:t>
            </w:r>
          </w:p>
          <w:p w:rsidR="007C4CDC" w:rsidRDefault="007C4CDC" w:rsidP="007C4CDC">
            <w:pPr>
              <w:numPr>
                <w:ilvl w:val="0"/>
                <w:numId w:val="3"/>
              </w:numPr>
              <w:jc w:val="both"/>
              <w:rPr>
                <w:sz w:val="20"/>
                <w:szCs w:val="20"/>
              </w:rPr>
            </w:pPr>
            <w:r>
              <w:rPr>
                <w:sz w:val="20"/>
                <w:szCs w:val="20"/>
              </w:rPr>
              <w:t xml:space="preserve">przy zagęszczeniu </w:t>
            </w:r>
            <w:proofErr w:type="spellStart"/>
            <w:r>
              <w:rPr>
                <w:sz w:val="20"/>
                <w:szCs w:val="20"/>
              </w:rPr>
              <w:t>Is</w:t>
            </w:r>
            <w:proofErr w:type="spellEnd"/>
            <w:r>
              <w:rPr>
                <w:sz w:val="20"/>
                <w:szCs w:val="20"/>
              </w:rPr>
              <w:sym w:font="Symbol" w:char="F0B3"/>
            </w:r>
            <w:r>
              <w:rPr>
                <w:sz w:val="20"/>
                <w:szCs w:val="20"/>
              </w:rPr>
              <w:t xml:space="preserve"> 1,00</w:t>
            </w:r>
          </w:p>
        </w:tc>
        <w:tc>
          <w:tcPr>
            <w:tcW w:w="1984" w:type="dxa"/>
            <w:vAlign w:val="center"/>
          </w:tcPr>
          <w:p w:rsidR="007C4CDC" w:rsidRDefault="007C4CDC" w:rsidP="00AA11D0">
            <w:pPr>
              <w:rPr>
                <w:sz w:val="20"/>
                <w:szCs w:val="20"/>
              </w:rPr>
            </w:pPr>
          </w:p>
          <w:p w:rsidR="007C4CDC" w:rsidRDefault="007C4CDC" w:rsidP="00AA11D0">
            <w:pPr>
              <w:rPr>
                <w:sz w:val="20"/>
                <w:szCs w:val="20"/>
              </w:rPr>
            </w:pPr>
          </w:p>
          <w:p w:rsidR="007C4CDC" w:rsidRDefault="007C4CDC" w:rsidP="00AA11D0">
            <w:pPr>
              <w:jc w:val="center"/>
              <w:rPr>
                <w:sz w:val="20"/>
                <w:szCs w:val="20"/>
              </w:rPr>
            </w:pPr>
            <w:r>
              <w:rPr>
                <w:sz w:val="20"/>
                <w:szCs w:val="20"/>
              </w:rPr>
              <w:t>120</w:t>
            </w:r>
          </w:p>
          <w:p w:rsidR="007C4CDC" w:rsidRDefault="007C4CDC" w:rsidP="00AA11D0">
            <w:pPr>
              <w:jc w:val="center"/>
              <w:rPr>
                <w:sz w:val="20"/>
                <w:szCs w:val="20"/>
              </w:rPr>
            </w:pPr>
            <w:r>
              <w:rPr>
                <w:sz w:val="20"/>
                <w:szCs w:val="20"/>
              </w:rPr>
              <w:t>80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PN-S-06102 </w:t>
            </w:r>
          </w:p>
        </w:tc>
      </w:tr>
    </w:tbl>
    <w:p w:rsidR="007C4CDC" w:rsidRDefault="007C4CDC" w:rsidP="007C4CDC">
      <w:pPr>
        <w:tabs>
          <w:tab w:val="left" w:pos="0"/>
          <w:tab w:val="right" w:pos="8953"/>
        </w:tabs>
        <w:rPr>
          <w:sz w:val="20"/>
          <w:szCs w:val="20"/>
        </w:rPr>
      </w:pPr>
    </w:p>
    <w:p w:rsidR="007C4CDC" w:rsidRDefault="007C4CDC" w:rsidP="007C4CDC">
      <w:pPr>
        <w:pStyle w:val="Nagwek3"/>
        <w:spacing w:before="0" w:after="0"/>
      </w:pPr>
      <w:r>
        <w:t>2.3.3 Woda</w:t>
      </w:r>
    </w:p>
    <w:p w:rsidR="007C4CDC" w:rsidRDefault="007C4CDC" w:rsidP="007C4CDC">
      <w:pPr>
        <w:pStyle w:val="Tekstpodstawowywcity3"/>
        <w:rPr>
          <w:sz w:val="20"/>
          <w:szCs w:val="20"/>
        </w:rPr>
      </w:pPr>
      <w:r>
        <w:rPr>
          <w:sz w:val="20"/>
          <w:szCs w:val="20"/>
        </w:rPr>
        <w:t>Należy stosować wodę wg PN-B-32250.</w:t>
      </w:r>
    </w:p>
    <w:p w:rsidR="007C4CDC" w:rsidRDefault="007C4CDC" w:rsidP="007C4CDC">
      <w:pPr>
        <w:ind w:firstLine="709"/>
        <w:rPr>
          <w:sz w:val="20"/>
          <w:szCs w:val="20"/>
        </w:rPr>
      </w:pPr>
    </w:p>
    <w:p w:rsidR="007C4CDC" w:rsidRDefault="007C4CDC" w:rsidP="007C4CDC">
      <w:pPr>
        <w:pStyle w:val="Tekstpodstawowywcity2"/>
        <w:spacing w:after="0" w:line="240" w:lineRule="auto"/>
        <w:ind w:left="284" w:firstLine="709"/>
        <w:rPr>
          <w:sz w:val="20"/>
          <w:szCs w:val="20"/>
        </w:rPr>
      </w:pPr>
    </w:p>
    <w:p w:rsidR="007C4CDC" w:rsidRDefault="007C4CDC" w:rsidP="007C4CDC">
      <w:pPr>
        <w:pStyle w:val="Nagwek1"/>
      </w:pPr>
      <w:r>
        <w:lastRenderedPageBreak/>
        <w:t>3. SPRZĘT</w:t>
      </w:r>
    </w:p>
    <w:p w:rsidR="007C4CDC" w:rsidRDefault="007C4CDC" w:rsidP="007C4CDC">
      <w:pPr>
        <w:pStyle w:val="Nagwek2"/>
      </w:pPr>
      <w:r>
        <w:t>3.1. Ogólne wymagania dotyczące sprzętu</w:t>
      </w:r>
    </w:p>
    <w:p w:rsidR="007C4CDC" w:rsidRDefault="007C4CDC" w:rsidP="007C4CDC">
      <w:pPr>
        <w:ind w:firstLine="709"/>
        <w:jc w:val="both"/>
        <w:rPr>
          <w:sz w:val="20"/>
          <w:szCs w:val="20"/>
        </w:rPr>
      </w:pPr>
      <w:r>
        <w:rPr>
          <w:sz w:val="20"/>
          <w:szCs w:val="20"/>
        </w:rPr>
        <w:t>Ogólne wymagania dotyczące sprzętu podano w SST D-00.00.00 „Wymagania ogólne” pkt 3.</w:t>
      </w:r>
    </w:p>
    <w:p w:rsidR="007C4CDC" w:rsidRDefault="007C4CDC" w:rsidP="007C4CDC">
      <w:pPr>
        <w:pStyle w:val="Nagwek2"/>
      </w:pPr>
      <w:r>
        <w:t>3.2. Sprzęt do wykonania robót</w:t>
      </w:r>
    </w:p>
    <w:p w:rsidR="007C4CDC" w:rsidRDefault="007C4CDC" w:rsidP="007C4CDC">
      <w:pPr>
        <w:jc w:val="both"/>
        <w:rPr>
          <w:sz w:val="20"/>
          <w:szCs w:val="20"/>
        </w:rPr>
      </w:pPr>
      <w:r>
        <w:rPr>
          <w:sz w:val="20"/>
          <w:szCs w:val="20"/>
        </w:rPr>
        <w:tab/>
        <w:t>Wykonawca powinien wykazać się możliwością korzystania z następującego sprzętu:</w:t>
      </w:r>
    </w:p>
    <w:p w:rsidR="007C4CDC" w:rsidRDefault="007C4CDC" w:rsidP="007C4CDC">
      <w:pPr>
        <w:jc w:val="both"/>
        <w:rPr>
          <w:sz w:val="20"/>
          <w:szCs w:val="20"/>
        </w:rPr>
      </w:pPr>
      <w:r>
        <w:rPr>
          <w:sz w:val="20"/>
          <w:szCs w:val="20"/>
        </w:rPr>
        <w:t>- mieszarek do wytwarzania mieszanki, wyposażonej w urządzenia dozujące wodę mieszarki powinny zapewnić wytworzenie jednorodnej mieszanki o wilgotności optymalnej,</w:t>
      </w:r>
    </w:p>
    <w:p w:rsidR="007C4CDC" w:rsidRDefault="007C4CDC" w:rsidP="007C4CDC">
      <w:pPr>
        <w:jc w:val="both"/>
        <w:rPr>
          <w:sz w:val="20"/>
          <w:szCs w:val="20"/>
        </w:rPr>
      </w:pPr>
      <w:r>
        <w:rPr>
          <w:sz w:val="20"/>
          <w:szCs w:val="20"/>
        </w:rPr>
        <w:t>- układarek lub równiarek do rozkładania mieszanki,</w:t>
      </w:r>
    </w:p>
    <w:p w:rsidR="007C4CDC" w:rsidRDefault="007C4CDC" w:rsidP="007C4CDC">
      <w:pPr>
        <w:jc w:val="both"/>
        <w:rPr>
          <w:sz w:val="20"/>
          <w:szCs w:val="20"/>
        </w:rPr>
      </w:pPr>
      <w:r>
        <w:rPr>
          <w:sz w:val="20"/>
          <w:szCs w:val="20"/>
        </w:rPr>
        <w:t xml:space="preserve">- walców ogumionych i stalowych wibracyjnych do zagęszczania. </w:t>
      </w:r>
    </w:p>
    <w:p w:rsidR="007C4CDC" w:rsidRDefault="007C4CDC" w:rsidP="007C4CDC">
      <w:pPr>
        <w:jc w:val="both"/>
        <w:rPr>
          <w:sz w:val="20"/>
          <w:szCs w:val="20"/>
        </w:rPr>
      </w:pPr>
      <w:r>
        <w:rPr>
          <w:sz w:val="20"/>
          <w:szCs w:val="20"/>
        </w:rPr>
        <w:t>W miejscach trudno dostępnych powinny być stosowane zagęszczarki płytowe, ubijaki mechaniczne lub małe walce wibracyjne.</w:t>
      </w:r>
    </w:p>
    <w:p w:rsidR="007C4CDC" w:rsidRDefault="007C4CDC" w:rsidP="007C4CDC">
      <w:pPr>
        <w:rPr>
          <w:rFonts w:ascii="Arial" w:hAnsi="Arial"/>
        </w:rPr>
      </w:pPr>
    </w:p>
    <w:p w:rsidR="007C4CDC" w:rsidRDefault="007C4CDC" w:rsidP="007C4CDC">
      <w:pPr>
        <w:pStyle w:val="Nagwek1"/>
      </w:pPr>
      <w:r>
        <w:t>4. TRANSPORT</w:t>
      </w:r>
    </w:p>
    <w:p w:rsidR="007C4CDC" w:rsidRDefault="007C4CDC" w:rsidP="007C4CDC">
      <w:pPr>
        <w:pStyle w:val="Nagwek2"/>
      </w:pPr>
      <w:r>
        <w:t>4.1. Ogólne wymagania dotyczące transportu</w:t>
      </w:r>
    </w:p>
    <w:p w:rsidR="007C4CDC" w:rsidRDefault="007C4CDC" w:rsidP="007C4CDC">
      <w:pPr>
        <w:ind w:firstLine="709"/>
        <w:jc w:val="both"/>
        <w:rPr>
          <w:sz w:val="20"/>
          <w:szCs w:val="20"/>
        </w:rPr>
      </w:pPr>
      <w:r>
        <w:rPr>
          <w:sz w:val="20"/>
          <w:szCs w:val="20"/>
        </w:rPr>
        <w:t>Ogólne wymagania dotyczące transportu podano w SST D-M-00.00.00 „Wymagania ogólne” pkt 4.</w:t>
      </w:r>
    </w:p>
    <w:p w:rsidR="007C4CDC" w:rsidRDefault="007C4CDC" w:rsidP="007C4CDC">
      <w:pPr>
        <w:pStyle w:val="Nagwek2"/>
      </w:pPr>
      <w:r>
        <w:t>4.2. Transport materiałów</w:t>
      </w:r>
    </w:p>
    <w:p w:rsidR="007C4CDC" w:rsidRDefault="007C4CDC" w:rsidP="007C4CDC">
      <w:pPr>
        <w:pStyle w:val="Tekstpodstawowywcity3"/>
        <w:rPr>
          <w:sz w:val="20"/>
          <w:szCs w:val="20"/>
        </w:rPr>
      </w:pPr>
      <w:r>
        <w:rPr>
          <w:sz w:val="20"/>
          <w:szCs w:val="20"/>
        </w:rPr>
        <w:tab/>
        <w:t>Kruszywa można przewozić dowolnymi środkami transportu w warunkach zabezpieczających je przed zanieczyszczeniem, zmieszaniem z innymi materiałami, nadmiernym wysuszeniem i zawilgoceniem.</w:t>
      </w:r>
    </w:p>
    <w:p w:rsidR="007C4CDC" w:rsidRDefault="007C4CDC" w:rsidP="007C4CDC">
      <w:pPr>
        <w:pStyle w:val="Nagwek1"/>
      </w:pPr>
      <w:r>
        <w:t>5. WYKONANIE ROBÓT</w:t>
      </w:r>
    </w:p>
    <w:p w:rsidR="007C4CDC" w:rsidRDefault="007C4CDC" w:rsidP="007C4CDC">
      <w:pPr>
        <w:pStyle w:val="Nagwek2"/>
      </w:pPr>
      <w:r>
        <w:t>5.1. Ogólne zasady wykonania robót</w:t>
      </w:r>
    </w:p>
    <w:p w:rsidR="007C4CDC" w:rsidRDefault="007C4CDC" w:rsidP="007C4CDC">
      <w:pPr>
        <w:jc w:val="both"/>
        <w:rPr>
          <w:sz w:val="20"/>
          <w:szCs w:val="20"/>
        </w:rPr>
      </w:pPr>
      <w:r>
        <w:rPr>
          <w:sz w:val="20"/>
          <w:szCs w:val="20"/>
        </w:rPr>
        <w:tab/>
        <w:t>Ogólne zasady wykonania robót podano w SST D-00.00.00 „Wymagania ogólne” pkt 5.</w:t>
      </w:r>
    </w:p>
    <w:p w:rsidR="007C4CDC" w:rsidRDefault="007C4CDC" w:rsidP="007C4CDC">
      <w:pPr>
        <w:pStyle w:val="Nagwek2"/>
      </w:pPr>
      <w:r>
        <w:t>5.2. Przygotowanie podłoża</w:t>
      </w:r>
    </w:p>
    <w:p w:rsidR="007C4CDC" w:rsidRDefault="007C4CDC" w:rsidP="007C4CDC">
      <w:pPr>
        <w:pStyle w:val="Tekstpodstawowywcity3"/>
        <w:rPr>
          <w:sz w:val="20"/>
          <w:szCs w:val="20"/>
        </w:rPr>
      </w:pPr>
      <w:r>
        <w:rPr>
          <w:sz w:val="20"/>
          <w:szCs w:val="20"/>
        </w:rPr>
        <w:tab/>
        <w:t>Podłoże powinno być wyprofilowane, równe i czyste. Wszelkie wady podłoża należy usunąć w sposób uzgodniony z Inżynierem/Kierownikiem Projektu.</w:t>
      </w:r>
    </w:p>
    <w:p w:rsidR="007C4CDC" w:rsidRDefault="007C4CDC" w:rsidP="007C4CDC">
      <w:pPr>
        <w:pStyle w:val="Nagwek2"/>
      </w:pPr>
      <w:r>
        <w:t>5.3. Wytwarzanie mieszanki kruszywa</w:t>
      </w:r>
    </w:p>
    <w:p w:rsidR="007C4CDC" w:rsidRDefault="007C4CDC" w:rsidP="007C4CDC">
      <w:pPr>
        <w:pStyle w:val="Tekstpodstawowywcity3"/>
        <w:jc w:val="both"/>
        <w:rPr>
          <w:sz w:val="20"/>
          <w:szCs w:val="20"/>
        </w:rPr>
      </w:pPr>
      <w:r>
        <w:rPr>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C4CDC" w:rsidRDefault="007C4CDC" w:rsidP="007C4CDC">
      <w:pPr>
        <w:pStyle w:val="Nagwek2"/>
        <w:spacing w:before="0" w:after="0"/>
      </w:pPr>
      <w:r>
        <w:t>5.4. Wbudowywanie i zagęszczanie mieszanki</w:t>
      </w:r>
    </w:p>
    <w:p w:rsidR="007C4CDC" w:rsidRDefault="007C4CDC" w:rsidP="007C4CDC">
      <w:pPr>
        <w:pStyle w:val="Tekstpodstawowywcity3"/>
        <w:jc w:val="both"/>
        <w:rPr>
          <w:sz w:val="20"/>
          <w:szCs w:val="20"/>
        </w:rPr>
      </w:pPr>
      <w:r>
        <w:rPr>
          <w:sz w:val="20"/>
          <w:szCs w:val="20"/>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Inżyniera/Kierownika Projektu.</w:t>
      </w:r>
    </w:p>
    <w:p w:rsidR="007C4CDC" w:rsidRDefault="007C4CDC" w:rsidP="007C4CDC">
      <w:pPr>
        <w:pStyle w:val="Tekstpodstawowywcity3"/>
        <w:jc w:val="both"/>
        <w:rPr>
          <w:sz w:val="20"/>
          <w:szCs w:val="20"/>
        </w:rPr>
      </w:pPr>
      <w:r>
        <w:rPr>
          <w:sz w:val="20"/>
          <w:szCs w:val="20"/>
        </w:rPr>
        <w:t xml:space="preserve">Wilgotność mieszanki kruszywa podczas zagęszczania powinna odpowiadać wilgotności optymalnej, określonej według próby </w:t>
      </w:r>
      <w:proofErr w:type="spellStart"/>
      <w:r>
        <w:rPr>
          <w:sz w:val="20"/>
          <w:szCs w:val="20"/>
        </w:rPr>
        <w:t>Proctora</w:t>
      </w:r>
      <w:proofErr w:type="spellEnd"/>
      <w:r>
        <w:rPr>
          <w:sz w:val="20"/>
          <w:szCs w:val="20"/>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7C4CDC" w:rsidRDefault="007C4CDC" w:rsidP="007C4CDC">
      <w:pPr>
        <w:pStyle w:val="Tekstpodstawowywcity3"/>
        <w:jc w:val="both"/>
        <w:rPr>
          <w:sz w:val="20"/>
          <w:szCs w:val="20"/>
        </w:rPr>
      </w:pPr>
      <w:r>
        <w:rPr>
          <w:sz w:val="20"/>
          <w:szCs w:val="20"/>
        </w:rPr>
        <w:t>Wskaźnik zagęszczenia podbudowy wg BN-77/8931-12 powinien odpowiadać przyjętemu poziomowi wskaźnika nośności podbudowy wg tablicy 1.</w:t>
      </w:r>
    </w:p>
    <w:p w:rsidR="007C4CDC" w:rsidRDefault="007C4CDC" w:rsidP="007C4CDC">
      <w:pPr>
        <w:pStyle w:val="Tekstpodstawowywcity3"/>
        <w:rPr>
          <w:sz w:val="20"/>
          <w:szCs w:val="20"/>
        </w:rPr>
      </w:pPr>
    </w:p>
    <w:p w:rsidR="007C4CDC" w:rsidRDefault="007C4CDC" w:rsidP="007C4CDC">
      <w:pPr>
        <w:pStyle w:val="Nagwek2"/>
      </w:pPr>
      <w:r>
        <w:lastRenderedPageBreak/>
        <w:t>5.5. Odcinek próbny</w:t>
      </w:r>
    </w:p>
    <w:p w:rsidR="007C4CDC" w:rsidRDefault="007C4CDC" w:rsidP="007C4CDC">
      <w:pPr>
        <w:pStyle w:val="tekstost"/>
      </w:pPr>
      <w:r>
        <w:tab/>
        <w:t>Jeżeli Inżynier/Kierownik Projektu stwierdzi konieczność wykonania odcinka próbnego, to co  najmniej na 3 dni przed rozpoczęciem robót, Wykonawca powinien wykonać odcinek próbny w celu:</w:t>
      </w:r>
    </w:p>
    <w:p w:rsidR="007C4CDC" w:rsidRDefault="007C4CDC" w:rsidP="007C4CDC">
      <w:pPr>
        <w:rPr>
          <w:sz w:val="20"/>
          <w:szCs w:val="20"/>
        </w:rPr>
      </w:pPr>
      <w:r>
        <w:rPr>
          <w:sz w:val="20"/>
          <w:szCs w:val="20"/>
        </w:rPr>
        <w:t>- stwierdzenia czy sprzęt budowlany do mieszania, rozkładania i zagęszczania kruszywa jest właściwy,</w:t>
      </w:r>
    </w:p>
    <w:p w:rsidR="007C4CDC" w:rsidRDefault="007C4CDC" w:rsidP="007C4CDC">
      <w:pPr>
        <w:rPr>
          <w:sz w:val="20"/>
          <w:szCs w:val="20"/>
        </w:rPr>
      </w:pPr>
      <w:r>
        <w:rPr>
          <w:sz w:val="20"/>
          <w:szCs w:val="20"/>
        </w:rPr>
        <w:t>- określenia grubości warstwy materiału w stanie luźnym, koniecznej do uzyskania wymaganej grubości warstwy po zagęszczeniu,</w:t>
      </w:r>
    </w:p>
    <w:p w:rsidR="007C4CDC" w:rsidRDefault="007C4CDC" w:rsidP="007C4CDC">
      <w:pPr>
        <w:rPr>
          <w:sz w:val="20"/>
          <w:szCs w:val="20"/>
        </w:rPr>
      </w:pPr>
      <w:r>
        <w:rPr>
          <w:sz w:val="20"/>
          <w:szCs w:val="20"/>
        </w:rPr>
        <w:t>- określenia liczby przejść sprzętu zagęszczającego, potrzebnej do uzyskania wymaganego wskaźnika zagęszczenia.</w:t>
      </w:r>
    </w:p>
    <w:p w:rsidR="007C4CDC" w:rsidRDefault="007C4CDC" w:rsidP="007C4CDC">
      <w:pPr>
        <w:pStyle w:val="tekstost"/>
      </w:pPr>
      <w:r>
        <w:t>Na odcinku próbnym  Wykonawca powinien użyć materiałów oraz sprzętu takich, jakie będą stosowane do wykonywania podbudowy.</w:t>
      </w:r>
    </w:p>
    <w:p w:rsidR="007C4CDC" w:rsidRDefault="007C4CDC" w:rsidP="007C4CDC">
      <w:pPr>
        <w:pStyle w:val="tekstost"/>
      </w:pPr>
      <w:r>
        <w:tab/>
        <w:t>Wykonawca może przystąpić do wykonywania podbudowy lub ulepszonego podłoża  po zaakceptowaniu odcinka próbnego przez Inżyniera/Kierownika Projektu.</w:t>
      </w:r>
      <w:r>
        <w:tab/>
      </w:r>
    </w:p>
    <w:p w:rsidR="007C4CDC" w:rsidRDefault="007C4CDC" w:rsidP="007C4CDC">
      <w:pPr>
        <w:pStyle w:val="Nagwek2"/>
      </w:pPr>
      <w:r>
        <w:t>5.6. Utrzymanie podbudowy.</w:t>
      </w:r>
    </w:p>
    <w:p w:rsidR="007C4CDC" w:rsidRDefault="007C4CDC" w:rsidP="007C4CDC">
      <w:pPr>
        <w:jc w:val="both"/>
        <w:rPr>
          <w:sz w:val="20"/>
          <w:szCs w:val="20"/>
        </w:rPr>
      </w:pPr>
      <w:r>
        <w:rPr>
          <w:sz w:val="20"/>
          <w:szCs w:val="20"/>
        </w:rPr>
        <w:tab/>
        <w:t xml:space="preserve">Podbudowa po wykonaniu, a przed ułożeniem następnej warstwy, powinny być utrzymywane w dobrym stanie.  Jeżeli Wykonawca będzie wykorzystywał, za zgodą Inżyniera/Kierownika Projektu, gotową podbudowę, to jest obowiązany naprawić wszelkie uszkodzenia podbudowy, spowodowane przez ten ruch. Koszt napraw wynikłych z niewłaściwego utrzymania podbudowy lub ulepszonego podłoża obciąża Wykonawcę robót. </w:t>
      </w:r>
    </w:p>
    <w:p w:rsidR="007C4CDC" w:rsidRDefault="007C4CDC" w:rsidP="007C4CDC">
      <w:pPr>
        <w:jc w:val="both"/>
        <w:rPr>
          <w:sz w:val="20"/>
          <w:szCs w:val="20"/>
        </w:rPr>
      </w:pPr>
      <w:r>
        <w:rPr>
          <w:sz w:val="20"/>
          <w:szCs w:val="20"/>
        </w:rPr>
        <w:tab/>
      </w:r>
    </w:p>
    <w:p w:rsidR="007C4CDC" w:rsidRDefault="007C4CDC" w:rsidP="007C4CDC">
      <w:pPr>
        <w:pStyle w:val="Nagwek1"/>
      </w:pPr>
      <w:r>
        <w:t>6. KONTROLA JAKOŚCI ROBÓT</w:t>
      </w:r>
    </w:p>
    <w:p w:rsidR="007C4CDC" w:rsidRDefault="007C4CDC" w:rsidP="007C4CDC">
      <w:pPr>
        <w:pStyle w:val="Nagwek2"/>
      </w:pPr>
      <w:r>
        <w:t>6.1. Ogólne zasady kontroli jakości robót</w:t>
      </w:r>
    </w:p>
    <w:p w:rsidR="007C4CDC" w:rsidRDefault="007C4CDC" w:rsidP="007C4CDC">
      <w:pPr>
        <w:jc w:val="both"/>
        <w:rPr>
          <w:sz w:val="20"/>
          <w:szCs w:val="20"/>
        </w:rPr>
      </w:pPr>
      <w:r>
        <w:rPr>
          <w:sz w:val="20"/>
          <w:szCs w:val="20"/>
        </w:rPr>
        <w:tab/>
        <w:t>Ogólne zasady kontroli jakości robót podano w SST D-00.00.00 „Wymagania ogólne” pkt 6.</w:t>
      </w:r>
    </w:p>
    <w:p w:rsidR="007C4CDC" w:rsidRDefault="007C4CDC" w:rsidP="007C4CDC">
      <w:pPr>
        <w:pStyle w:val="Nagwek2"/>
      </w:pPr>
      <w:r>
        <w:t>6.2. Badania przed przystąpieniem do robót</w:t>
      </w:r>
    </w:p>
    <w:p w:rsidR="007C4CDC" w:rsidRDefault="007C4CDC" w:rsidP="007C4CDC">
      <w:pPr>
        <w:ind w:firstLine="720"/>
        <w:rPr>
          <w:sz w:val="20"/>
          <w:szCs w:val="20"/>
        </w:rPr>
      </w:pPr>
      <w:r>
        <w:rPr>
          <w:sz w:val="20"/>
          <w:szCs w:val="20"/>
        </w:rPr>
        <w:tab/>
        <w:t>Przed przystąpieniem do robót Wykonawca powinien wykonać badania kruszyw przeznaczonych do wykonania robót i przedstawić wyniki tych badań Inżynierowi w celu akceptacji.Badania te powinny obejmować wszystkie właściwości określone w pkt 2.3 niniejszej SST.</w:t>
      </w:r>
    </w:p>
    <w:p w:rsidR="007C4CDC" w:rsidRDefault="007C4CDC" w:rsidP="007C4CDC">
      <w:pPr>
        <w:pStyle w:val="Nagwek2"/>
      </w:pPr>
      <w:r>
        <w:t>6.3. Badania w czasie robót</w:t>
      </w:r>
    </w:p>
    <w:p w:rsidR="007C4CDC" w:rsidRDefault="007C4CDC" w:rsidP="007C4CDC">
      <w:pPr>
        <w:jc w:val="both"/>
        <w:rPr>
          <w:sz w:val="20"/>
          <w:szCs w:val="20"/>
        </w:rPr>
      </w:pPr>
      <w:r>
        <w:rPr>
          <w:b/>
          <w:sz w:val="20"/>
          <w:szCs w:val="20"/>
        </w:rPr>
        <w:t xml:space="preserve">6.3.1. </w:t>
      </w:r>
      <w:r>
        <w:rPr>
          <w:sz w:val="20"/>
          <w:szCs w:val="20"/>
        </w:rPr>
        <w:t>Częstotliwość oraz zakres badań i pomiarów</w:t>
      </w:r>
    </w:p>
    <w:p w:rsidR="007C4CDC" w:rsidRDefault="007C4CDC" w:rsidP="007C4CDC">
      <w:pPr>
        <w:spacing w:before="120"/>
        <w:jc w:val="both"/>
        <w:rPr>
          <w:sz w:val="20"/>
          <w:szCs w:val="20"/>
        </w:rPr>
      </w:pPr>
      <w:r>
        <w:rPr>
          <w:sz w:val="20"/>
          <w:szCs w:val="20"/>
        </w:rPr>
        <w:tab/>
        <w:t>Częstotliwość oraz zakres badań  i pomiarów w czasie wykonywania podbudowy podano w tablicy 1.</w:t>
      </w:r>
    </w:p>
    <w:p w:rsidR="007C4CDC" w:rsidRDefault="007C4CDC" w:rsidP="007C4CDC">
      <w:pPr>
        <w:pStyle w:val="tekstost"/>
        <w:spacing w:after="120"/>
        <w:jc w:val="center"/>
        <w:rPr>
          <w:i/>
        </w:rPr>
      </w:pPr>
      <w:r>
        <w:rPr>
          <w:i/>
        </w:rPr>
        <w:t>Tablica 1. Częstotliwość badań i pomiarów</w:t>
      </w:r>
    </w:p>
    <w:tbl>
      <w:tblPr>
        <w:tblW w:w="0" w:type="auto"/>
        <w:jc w:val="center"/>
        <w:tblLayout w:type="fixed"/>
        <w:tblCellMar>
          <w:left w:w="70" w:type="dxa"/>
          <w:right w:w="70" w:type="dxa"/>
        </w:tblCellMar>
        <w:tblLook w:val="0000"/>
      </w:tblPr>
      <w:tblGrid>
        <w:gridCol w:w="496"/>
        <w:gridCol w:w="4394"/>
        <w:gridCol w:w="1747"/>
        <w:gridCol w:w="2520"/>
      </w:tblGrid>
      <w:tr w:rsidR="007C4CDC" w:rsidTr="00AA11D0">
        <w:trPr>
          <w:jc w:val="center"/>
        </w:trPr>
        <w:tc>
          <w:tcPr>
            <w:tcW w:w="496" w:type="dxa"/>
            <w:tcBorders>
              <w:top w:val="single" w:sz="6" w:space="0" w:color="auto"/>
              <w:left w:val="single" w:sz="6" w:space="0" w:color="auto"/>
            </w:tcBorders>
          </w:tcPr>
          <w:p w:rsidR="007C4CDC" w:rsidRDefault="007C4CDC" w:rsidP="00AA11D0">
            <w:pPr>
              <w:pStyle w:val="tekstost"/>
              <w:jc w:val="center"/>
            </w:pPr>
          </w:p>
        </w:tc>
        <w:tc>
          <w:tcPr>
            <w:tcW w:w="4394" w:type="dxa"/>
            <w:tcBorders>
              <w:top w:val="single" w:sz="6" w:space="0" w:color="auto"/>
              <w:left w:val="single" w:sz="6" w:space="0" w:color="auto"/>
            </w:tcBorders>
          </w:tcPr>
          <w:p w:rsidR="007C4CDC" w:rsidRDefault="007C4CDC" w:rsidP="00AA11D0">
            <w:pPr>
              <w:pStyle w:val="tekstost"/>
              <w:jc w:val="center"/>
            </w:pPr>
          </w:p>
        </w:tc>
        <w:tc>
          <w:tcPr>
            <w:tcW w:w="4267" w:type="dxa"/>
            <w:gridSpan w:val="2"/>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Częstotliwość badań</w:t>
            </w:r>
          </w:p>
        </w:tc>
      </w:tr>
      <w:tr w:rsidR="007C4CDC" w:rsidTr="00AA11D0">
        <w:trPr>
          <w:jc w:val="center"/>
        </w:trPr>
        <w:tc>
          <w:tcPr>
            <w:tcW w:w="496" w:type="dxa"/>
            <w:tcBorders>
              <w:left w:val="single" w:sz="6" w:space="0" w:color="auto"/>
              <w:bottom w:val="double" w:sz="6" w:space="0" w:color="auto"/>
              <w:right w:val="single" w:sz="6" w:space="0" w:color="auto"/>
            </w:tcBorders>
          </w:tcPr>
          <w:p w:rsidR="007C4CDC" w:rsidRDefault="007C4CDC" w:rsidP="00AA11D0">
            <w:pPr>
              <w:pStyle w:val="tekstost"/>
              <w:jc w:val="center"/>
            </w:pPr>
          </w:p>
          <w:p w:rsidR="007C4CDC" w:rsidRDefault="007C4CDC" w:rsidP="00AA11D0">
            <w:pPr>
              <w:pStyle w:val="tekstost"/>
              <w:spacing w:before="120"/>
              <w:jc w:val="center"/>
            </w:pPr>
            <w:r>
              <w:t>Lp.</w:t>
            </w:r>
          </w:p>
        </w:tc>
        <w:tc>
          <w:tcPr>
            <w:tcW w:w="4394" w:type="dxa"/>
            <w:tcBorders>
              <w:left w:val="nil"/>
              <w:bottom w:val="double" w:sz="6" w:space="0" w:color="auto"/>
            </w:tcBorders>
          </w:tcPr>
          <w:p w:rsidR="007C4CDC" w:rsidRDefault="007C4CDC" w:rsidP="00AA11D0">
            <w:pPr>
              <w:pStyle w:val="tekstost"/>
            </w:pPr>
          </w:p>
          <w:p w:rsidR="007C4CDC" w:rsidRDefault="007C4CDC" w:rsidP="00AA11D0">
            <w:pPr>
              <w:pStyle w:val="tekstost"/>
              <w:spacing w:before="120"/>
              <w:jc w:val="center"/>
            </w:pPr>
            <w:r>
              <w:t>Wyszczególnienie badań</w:t>
            </w:r>
          </w:p>
        </w:tc>
        <w:tc>
          <w:tcPr>
            <w:tcW w:w="1747" w:type="dxa"/>
            <w:tcBorders>
              <w:top w:val="single" w:sz="6" w:space="0" w:color="auto"/>
              <w:left w:val="single" w:sz="6" w:space="0" w:color="auto"/>
              <w:bottom w:val="double" w:sz="6" w:space="0" w:color="auto"/>
              <w:right w:val="single" w:sz="6" w:space="0" w:color="auto"/>
            </w:tcBorders>
          </w:tcPr>
          <w:p w:rsidR="007C4CDC" w:rsidRDefault="007C4CDC" w:rsidP="00AA11D0">
            <w:pPr>
              <w:pStyle w:val="tekstost"/>
              <w:spacing w:before="120"/>
              <w:jc w:val="center"/>
            </w:pPr>
            <w:r>
              <w:t>Minimalna liczba badań na dziennej działce roboczej</w:t>
            </w:r>
          </w:p>
        </w:tc>
        <w:tc>
          <w:tcPr>
            <w:tcW w:w="2520" w:type="dxa"/>
            <w:tcBorders>
              <w:top w:val="single" w:sz="6" w:space="0" w:color="auto"/>
              <w:left w:val="single" w:sz="6" w:space="0" w:color="auto"/>
              <w:bottom w:val="double" w:sz="6" w:space="0" w:color="auto"/>
              <w:right w:val="single" w:sz="6" w:space="0" w:color="auto"/>
            </w:tcBorders>
          </w:tcPr>
          <w:p w:rsidR="007C4CDC" w:rsidRDefault="007C4CDC" w:rsidP="00AA11D0">
            <w:pPr>
              <w:pStyle w:val="tekstost"/>
              <w:jc w:val="left"/>
            </w:pPr>
            <w:r>
              <w:t>Maksymalna powierzchnia podbudowy lub ulepszonego podłoża przypadająca na jedno badanie</w:t>
            </w:r>
          </w:p>
        </w:tc>
      </w:tr>
      <w:tr w:rsidR="007C4CDC" w:rsidTr="00AA11D0">
        <w:trPr>
          <w:cantSplit/>
          <w:jc w:val="center"/>
        </w:trPr>
        <w:tc>
          <w:tcPr>
            <w:tcW w:w="496" w:type="dxa"/>
            <w:tcBorders>
              <w:left w:val="single" w:sz="6" w:space="0" w:color="auto"/>
              <w:bottom w:val="single" w:sz="6" w:space="0" w:color="auto"/>
              <w:right w:val="single" w:sz="6" w:space="0" w:color="auto"/>
            </w:tcBorders>
          </w:tcPr>
          <w:p w:rsidR="007C4CDC" w:rsidRDefault="007C4CDC" w:rsidP="00AA11D0">
            <w:pPr>
              <w:pStyle w:val="tekstost"/>
              <w:jc w:val="center"/>
            </w:pPr>
            <w:r>
              <w:t>1</w:t>
            </w:r>
          </w:p>
        </w:tc>
        <w:tc>
          <w:tcPr>
            <w:tcW w:w="4394" w:type="dxa"/>
            <w:tcBorders>
              <w:left w:val="single" w:sz="6" w:space="0" w:color="auto"/>
              <w:bottom w:val="single" w:sz="6" w:space="0" w:color="auto"/>
            </w:tcBorders>
          </w:tcPr>
          <w:p w:rsidR="007C4CDC" w:rsidRDefault="007C4CDC" w:rsidP="00AA11D0">
            <w:pPr>
              <w:pStyle w:val="tekstost"/>
            </w:pPr>
            <w:r>
              <w:t>Uziarnienie mieszanki kruszywa</w:t>
            </w:r>
          </w:p>
        </w:tc>
        <w:tc>
          <w:tcPr>
            <w:tcW w:w="1747" w:type="dxa"/>
            <w:vMerge w:val="restart"/>
            <w:tcBorders>
              <w:left w:val="single" w:sz="6" w:space="0" w:color="auto"/>
            </w:tcBorders>
            <w:vAlign w:val="center"/>
          </w:tcPr>
          <w:p w:rsidR="007C4CDC" w:rsidRDefault="007C4CDC" w:rsidP="00AA11D0">
            <w:pPr>
              <w:pStyle w:val="tekstost"/>
              <w:jc w:val="center"/>
            </w:pPr>
            <w:r>
              <w:t>2</w:t>
            </w:r>
          </w:p>
        </w:tc>
        <w:tc>
          <w:tcPr>
            <w:tcW w:w="2520" w:type="dxa"/>
            <w:vMerge w:val="restart"/>
            <w:tcBorders>
              <w:left w:val="single" w:sz="6" w:space="0" w:color="auto"/>
              <w:right w:val="single" w:sz="6" w:space="0" w:color="auto"/>
            </w:tcBorders>
            <w:vAlign w:val="center"/>
          </w:tcPr>
          <w:p w:rsidR="007C4CDC" w:rsidRDefault="007C4CDC" w:rsidP="00AA11D0">
            <w:pPr>
              <w:pStyle w:val="tekstost"/>
              <w:jc w:val="center"/>
            </w:pPr>
            <w:r>
              <w:t>600 m</w:t>
            </w:r>
            <w:r>
              <w:rPr>
                <w:vertAlign w:val="superscript"/>
              </w:rPr>
              <w:t>2</w:t>
            </w:r>
          </w:p>
        </w:tc>
      </w:tr>
      <w:tr w:rsidR="007C4CDC" w:rsidTr="00AA11D0">
        <w:trPr>
          <w:cantSplit/>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2</w:t>
            </w:r>
          </w:p>
        </w:tc>
        <w:tc>
          <w:tcPr>
            <w:tcW w:w="4394" w:type="dxa"/>
            <w:tcBorders>
              <w:top w:val="single" w:sz="6" w:space="0" w:color="auto"/>
              <w:left w:val="single" w:sz="6" w:space="0" w:color="auto"/>
              <w:bottom w:val="single" w:sz="6" w:space="0" w:color="auto"/>
            </w:tcBorders>
          </w:tcPr>
          <w:p w:rsidR="007C4CDC" w:rsidRDefault="007C4CDC" w:rsidP="00AA11D0">
            <w:pPr>
              <w:pStyle w:val="tekstost"/>
            </w:pPr>
            <w:r>
              <w:t>Wilgotność mieszanki kruszywa</w:t>
            </w:r>
          </w:p>
        </w:tc>
        <w:tc>
          <w:tcPr>
            <w:tcW w:w="1747" w:type="dxa"/>
            <w:vMerge/>
            <w:tcBorders>
              <w:left w:val="single" w:sz="6" w:space="0" w:color="auto"/>
            </w:tcBorders>
          </w:tcPr>
          <w:p w:rsidR="007C4CDC" w:rsidRDefault="007C4CDC" w:rsidP="00AA11D0">
            <w:pPr>
              <w:pStyle w:val="tekstost"/>
              <w:jc w:val="center"/>
            </w:pPr>
          </w:p>
        </w:tc>
        <w:tc>
          <w:tcPr>
            <w:tcW w:w="2520" w:type="dxa"/>
            <w:vMerge/>
            <w:tcBorders>
              <w:left w:val="single" w:sz="6" w:space="0" w:color="auto"/>
              <w:right w:val="single" w:sz="6" w:space="0" w:color="auto"/>
            </w:tcBorders>
          </w:tcPr>
          <w:p w:rsidR="007C4CDC" w:rsidRDefault="007C4CDC" w:rsidP="00AA11D0">
            <w:pPr>
              <w:pStyle w:val="tekstost"/>
              <w:jc w:val="center"/>
            </w:pPr>
          </w:p>
        </w:tc>
      </w:tr>
      <w:tr w:rsidR="007C4CDC" w:rsidTr="00AA11D0">
        <w:trPr>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3</w:t>
            </w:r>
          </w:p>
        </w:tc>
        <w:tc>
          <w:tcPr>
            <w:tcW w:w="4394" w:type="dxa"/>
            <w:tcBorders>
              <w:top w:val="single" w:sz="6" w:space="0" w:color="auto"/>
              <w:left w:val="single" w:sz="6" w:space="0" w:color="auto"/>
              <w:bottom w:val="single" w:sz="6" w:space="0" w:color="auto"/>
            </w:tcBorders>
          </w:tcPr>
          <w:p w:rsidR="007C4CDC" w:rsidRDefault="007C4CDC" w:rsidP="00AA11D0">
            <w:pPr>
              <w:pStyle w:val="tekstost"/>
            </w:pPr>
            <w:r>
              <w:t>Zagęszczenie warstwy</w:t>
            </w:r>
          </w:p>
        </w:tc>
        <w:tc>
          <w:tcPr>
            <w:tcW w:w="4267" w:type="dxa"/>
            <w:gridSpan w:val="2"/>
            <w:tcBorders>
              <w:left w:val="single" w:sz="6" w:space="0" w:color="auto"/>
              <w:bottom w:val="single" w:sz="6" w:space="0" w:color="auto"/>
              <w:right w:val="single" w:sz="6" w:space="0" w:color="auto"/>
            </w:tcBorders>
          </w:tcPr>
          <w:p w:rsidR="007C4CDC" w:rsidRDefault="007C4CDC" w:rsidP="00AA11D0">
            <w:pPr>
              <w:pStyle w:val="tekstost"/>
              <w:jc w:val="center"/>
            </w:pPr>
            <w:r>
              <w:t>10 próbek na 10000 m</w:t>
            </w:r>
            <w:r>
              <w:rPr>
                <w:vertAlign w:val="superscript"/>
              </w:rPr>
              <w:t>2</w:t>
            </w:r>
          </w:p>
        </w:tc>
      </w:tr>
      <w:tr w:rsidR="007C4CDC" w:rsidTr="00AA11D0">
        <w:trPr>
          <w:jc w:val="center"/>
        </w:trPr>
        <w:tc>
          <w:tcPr>
            <w:tcW w:w="496" w:type="dxa"/>
            <w:tcBorders>
              <w:left w:val="single" w:sz="6" w:space="0" w:color="auto"/>
              <w:bottom w:val="single" w:sz="6" w:space="0" w:color="auto"/>
              <w:right w:val="single" w:sz="6" w:space="0" w:color="auto"/>
            </w:tcBorders>
          </w:tcPr>
          <w:p w:rsidR="007C4CDC" w:rsidRDefault="007C4CDC" w:rsidP="00AA11D0">
            <w:pPr>
              <w:pStyle w:val="tekstost"/>
              <w:spacing w:before="60" w:after="60"/>
              <w:jc w:val="center"/>
            </w:pPr>
            <w:r>
              <w:t>4</w:t>
            </w:r>
          </w:p>
        </w:tc>
        <w:tc>
          <w:tcPr>
            <w:tcW w:w="4394" w:type="dxa"/>
            <w:tcBorders>
              <w:left w:val="single" w:sz="6" w:space="0" w:color="auto"/>
              <w:bottom w:val="single" w:sz="6" w:space="0" w:color="auto"/>
              <w:right w:val="single" w:sz="6" w:space="0" w:color="auto"/>
            </w:tcBorders>
          </w:tcPr>
          <w:p w:rsidR="007C4CDC" w:rsidRDefault="007C4CDC" w:rsidP="00AA11D0">
            <w:pPr>
              <w:pStyle w:val="tekstost"/>
              <w:spacing w:before="60" w:after="60"/>
            </w:pPr>
            <w:r>
              <w:t>Grubość podbudowy</w:t>
            </w:r>
          </w:p>
        </w:tc>
        <w:tc>
          <w:tcPr>
            <w:tcW w:w="1747" w:type="dxa"/>
            <w:tcBorders>
              <w:left w:val="single" w:sz="6" w:space="0" w:color="auto"/>
              <w:bottom w:val="single" w:sz="6" w:space="0" w:color="auto"/>
              <w:right w:val="single" w:sz="6" w:space="0" w:color="auto"/>
            </w:tcBorders>
          </w:tcPr>
          <w:p w:rsidR="007C4CDC" w:rsidRDefault="007C4CDC" w:rsidP="00AA11D0">
            <w:pPr>
              <w:pStyle w:val="tekstost"/>
              <w:spacing w:before="60" w:after="60"/>
              <w:jc w:val="center"/>
            </w:pPr>
            <w:r>
              <w:t>3</w:t>
            </w:r>
          </w:p>
        </w:tc>
        <w:tc>
          <w:tcPr>
            <w:tcW w:w="2520" w:type="dxa"/>
            <w:tcBorders>
              <w:left w:val="nil"/>
              <w:bottom w:val="single" w:sz="6" w:space="0" w:color="auto"/>
              <w:right w:val="single" w:sz="6" w:space="0" w:color="auto"/>
            </w:tcBorders>
          </w:tcPr>
          <w:p w:rsidR="007C4CDC" w:rsidRDefault="007C4CDC" w:rsidP="00AA11D0">
            <w:pPr>
              <w:pStyle w:val="tekstost"/>
              <w:spacing w:before="60" w:after="60"/>
              <w:jc w:val="center"/>
            </w:pPr>
            <w:r>
              <w:t>400 m</w:t>
            </w:r>
            <w:r>
              <w:rPr>
                <w:vertAlign w:val="superscript"/>
              </w:rPr>
              <w:t>2</w:t>
            </w:r>
          </w:p>
        </w:tc>
      </w:tr>
      <w:tr w:rsidR="007C4CDC" w:rsidTr="00AA11D0">
        <w:trPr>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5</w:t>
            </w:r>
          </w:p>
        </w:tc>
        <w:tc>
          <w:tcPr>
            <w:tcW w:w="4394"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pPr>
            <w:r>
              <w:t>Badanie właściwości kruszywa</w:t>
            </w:r>
          </w:p>
        </w:tc>
        <w:tc>
          <w:tcPr>
            <w:tcW w:w="4267" w:type="dxa"/>
            <w:gridSpan w:val="2"/>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dla każdej partii i przy każdej zmianie rodzaju kruszywa</w:t>
            </w:r>
          </w:p>
        </w:tc>
      </w:tr>
    </w:tbl>
    <w:p w:rsidR="007C4CDC" w:rsidRDefault="007C4CDC" w:rsidP="007C4CDC">
      <w:pPr>
        <w:pStyle w:val="tekstost"/>
      </w:pPr>
    </w:p>
    <w:p w:rsidR="007C4CDC" w:rsidRDefault="007C4CDC" w:rsidP="007C4CDC">
      <w:pPr>
        <w:pStyle w:val="tekstost"/>
      </w:pPr>
      <w:r>
        <w:rPr>
          <w:b/>
        </w:rPr>
        <w:t xml:space="preserve">6.3.2. </w:t>
      </w:r>
      <w:r>
        <w:t>Uziarnienie mieszanki</w:t>
      </w:r>
    </w:p>
    <w:p w:rsidR="007C4CDC" w:rsidRDefault="007C4CDC" w:rsidP="007C4CDC">
      <w:pPr>
        <w:pStyle w:val="Tekstpodstawowywcity3"/>
        <w:rPr>
          <w:sz w:val="20"/>
          <w:szCs w:val="20"/>
        </w:rPr>
      </w:pPr>
      <w:r>
        <w:tab/>
      </w:r>
      <w:r>
        <w:rPr>
          <w:sz w:val="20"/>
          <w:szCs w:val="20"/>
        </w:rPr>
        <w:t>Uziarnienie mieszanki powinno być zgodne z wymaganiami podanymi w pkt 2.3. Próbki należy pobierać w sposób losowy, z rozłożonej warstwy, przed jej zagęszczeniem. Dopuszcza się, za zgodą Inżyniera/Kierownika Projektu, pobieranie próbek ze środków transportowych na terenie wytwórni mieszanki. Wyniki badań powinny być na bieżąco przekazywane Inżynierowi/Kierownikowi Projektu.</w:t>
      </w:r>
    </w:p>
    <w:p w:rsidR="007C4CDC" w:rsidRDefault="007C4CDC" w:rsidP="007C4CDC">
      <w:pPr>
        <w:pStyle w:val="tekstost"/>
        <w:spacing w:before="120"/>
      </w:pPr>
      <w:r>
        <w:rPr>
          <w:b/>
        </w:rPr>
        <w:t xml:space="preserve">6.3.3. </w:t>
      </w:r>
      <w:r>
        <w:t>Wilgotność mieszanki</w:t>
      </w:r>
    </w:p>
    <w:p w:rsidR="007C4CDC" w:rsidRDefault="007C4CDC" w:rsidP="007C4CDC">
      <w:pPr>
        <w:pStyle w:val="tekstost"/>
        <w:spacing w:before="120"/>
      </w:pPr>
      <w:r>
        <w:tab/>
        <w:t xml:space="preserve">Wilgotność mieszanki powinna odpowiadać wilgotności optymalnej, określonej według próby </w:t>
      </w:r>
      <w:proofErr w:type="spellStart"/>
      <w:r>
        <w:t>Proctora</w:t>
      </w:r>
      <w:proofErr w:type="spellEnd"/>
      <w:r>
        <w:t>, zgodnie z PN-B-04481 (metoda II), z tolerancją +10% -20%. Wilgotność należy określić według PN-B-06714-17.</w:t>
      </w:r>
    </w:p>
    <w:p w:rsidR="007C4CDC" w:rsidRDefault="007C4CDC" w:rsidP="007C4CDC">
      <w:pPr>
        <w:pStyle w:val="Nagwek3"/>
        <w:spacing w:before="0" w:after="0"/>
        <w:rPr>
          <w:b/>
        </w:rPr>
      </w:pPr>
      <w:r>
        <w:rPr>
          <w:b/>
        </w:rPr>
        <w:lastRenderedPageBreak/>
        <w:t xml:space="preserve">6.3.4. </w:t>
      </w:r>
      <w:r>
        <w:t>Zagęszczenie podbudowy</w:t>
      </w:r>
    </w:p>
    <w:p w:rsidR="007C4CDC" w:rsidRDefault="007C4CDC" w:rsidP="007C4CDC">
      <w:pPr>
        <w:pStyle w:val="Tekstpodstawowywcity3"/>
        <w:rPr>
          <w:sz w:val="20"/>
          <w:szCs w:val="20"/>
        </w:rPr>
      </w:pPr>
      <w:r>
        <w:rPr>
          <w:sz w:val="20"/>
          <w:szCs w:val="20"/>
        </w:rPr>
        <w:t>Zagęszczenie każdej warstwy powinno odbywać się aż do osiągnięcia wymaganego wskaźnika zagęszczenia.</w:t>
      </w:r>
    </w:p>
    <w:p w:rsidR="007C4CDC" w:rsidRDefault="007C4CDC" w:rsidP="007C4CDC">
      <w:pPr>
        <w:ind w:firstLine="709"/>
        <w:rPr>
          <w:sz w:val="20"/>
          <w:szCs w:val="20"/>
        </w:rPr>
      </w:pPr>
      <w:r>
        <w:rPr>
          <w:sz w:val="20"/>
          <w:szCs w:val="20"/>
        </w:rPr>
        <w:t>Zagęszczenie podbudowy należy sprawdzać według BN-77/8931-12. W przypadku, gdy przeprowadzenie badania jest niemożliwe ze względu na gruboziarniste kruszywo, kontrolę zagęszczenia należy oprzeć na metodzie obciążeń płytowych, wg „Instrukcji badań podłoża gruntowego budowli drogowych i mostowych”- część 2 pkt. 2.4.4, nie rzadziej niż 10 razy na 10 000 m2, lub według zaleceń Inżyniera/Kierownika Projektu.</w:t>
      </w:r>
    </w:p>
    <w:p w:rsidR="007C4CDC" w:rsidRDefault="007C4CDC" w:rsidP="007C4CDC">
      <w:pPr>
        <w:ind w:firstLine="709"/>
        <w:rPr>
          <w:sz w:val="20"/>
          <w:szCs w:val="20"/>
        </w:rPr>
      </w:pPr>
      <w:r>
        <w:rPr>
          <w:sz w:val="20"/>
          <w:szCs w:val="20"/>
        </w:rPr>
        <w:t>Zagęszczenie podbudowy stabilizowanej mechanicznie należy uznać za prawidłowe, gdy stosunek wtórnego modułu E2 do pierwotnego modułu odkształcenia E1 jest nie większy od 2,2 dla każdej warstwy konstrukcyjnej podbudowy.</w:t>
      </w:r>
    </w:p>
    <w:p w:rsidR="007C4CDC" w:rsidRDefault="007C4CDC" w:rsidP="007C4CDC">
      <w:pPr>
        <w:ind w:left="2160" w:firstLine="720"/>
        <w:rPr>
          <w:sz w:val="20"/>
          <w:szCs w:val="20"/>
        </w:rPr>
      </w:pPr>
      <w:r w:rsidRPr="00243B0E">
        <w:rPr>
          <w:sz w:val="20"/>
          <w:szCs w:val="2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17.55pt" o:ole="" fillcolor="window">
            <v:imagedata r:id="rId7" o:title=""/>
          </v:shape>
          <o:OLEObject Type="Embed" ProgID="Equation.3" ShapeID="_x0000_i1025" DrawAspect="Content" ObjectID="_1637080393" r:id="rId8"/>
        </w:object>
      </w:r>
      <w:r w:rsidRPr="00243B0E">
        <w:rPr>
          <w:sz w:val="20"/>
          <w:szCs w:val="20"/>
        </w:rPr>
        <w:object w:dxaOrig="400" w:dyaOrig="700">
          <v:shape id="_x0000_i1026" type="#_x0000_t75" style="width:20.05pt;height:35.05pt" o:ole="" fillcolor="window">
            <v:imagedata r:id="rId9" o:title=""/>
          </v:shape>
          <o:OLEObject Type="Embed" ProgID="Equation.3" ShapeID="_x0000_i1026" DrawAspect="Content" ObjectID="_1637080394" r:id="rId10"/>
        </w:object>
      </w:r>
      <w:r>
        <w:rPr>
          <w:sz w:val="20"/>
          <w:szCs w:val="20"/>
        </w:rPr>
        <w:sym w:font="Symbol" w:char="F0A3"/>
      </w:r>
      <w:r>
        <w:rPr>
          <w:sz w:val="20"/>
          <w:szCs w:val="20"/>
        </w:rPr>
        <w:t xml:space="preserve">  2,2</w:t>
      </w:r>
    </w:p>
    <w:p w:rsidR="007C4CDC" w:rsidRDefault="007C4CDC" w:rsidP="007C4CDC">
      <w:pPr>
        <w:ind w:left="2160" w:firstLine="720"/>
        <w:rPr>
          <w:sz w:val="20"/>
          <w:szCs w:val="20"/>
        </w:rPr>
      </w:pPr>
    </w:p>
    <w:p w:rsidR="007C4CDC" w:rsidRDefault="007C4CDC" w:rsidP="007C4CDC">
      <w:pPr>
        <w:pStyle w:val="Nagwek3"/>
        <w:spacing w:before="0" w:after="0"/>
      </w:pPr>
      <w:r>
        <w:rPr>
          <w:b/>
        </w:rPr>
        <w:t>6.3.5.</w:t>
      </w:r>
      <w:r>
        <w:t xml:space="preserve"> Właściwości kruszywa</w:t>
      </w:r>
    </w:p>
    <w:p w:rsidR="007C4CDC" w:rsidRDefault="007C4CDC" w:rsidP="007C4CDC">
      <w:pPr>
        <w:pStyle w:val="Tekstpodstawowywcity3"/>
        <w:rPr>
          <w:sz w:val="20"/>
          <w:szCs w:val="20"/>
        </w:rPr>
      </w:pPr>
      <w:r>
        <w:rPr>
          <w:sz w:val="20"/>
          <w:szCs w:val="20"/>
        </w:rPr>
        <w:t>Badania kruszywa powinny obejmować ocenę wszystkich właściwości określonych w pkt 2.3.2.</w:t>
      </w:r>
    </w:p>
    <w:p w:rsidR="007C4CDC" w:rsidRDefault="007C4CDC" w:rsidP="007C4CDC">
      <w:pPr>
        <w:pStyle w:val="Tekstpodstawowywcity3"/>
        <w:rPr>
          <w:sz w:val="20"/>
          <w:szCs w:val="20"/>
        </w:rPr>
      </w:pPr>
      <w:r>
        <w:rPr>
          <w:sz w:val="20"/>
          <w:szCs w:val="20"/>
        </w:rPr>
        <w:t>Próbki do badań pełnych powinny być pobierane przez Wykonawcę w sposób losowy w obecności Inżyniera/Kierownika Projektu.</w:t>
      </w:r>
    </w:p>
    <w:p w:rsidR="007C4CDC" w:rsidRDefault="007C4CDC" w:rsidP="007C4CDC">
      <w:pPr>
        <w:pStyle w:val="Nagwek2"/>
      </w:pPr>
      <w:r>
        <w:t xml:space="preserve">6.4 Wymagania dotyczące wykonanej podbudowy </w:t>
      </w:r>
    </w:p>
    <w:p w:rsidR="007C4CDC" w:rsidRDefault="007C4CDC" w:rsidP="007C4CDC">
      <w:pPr>
        <w:pStyle w:val="Tekstpodstawowywcity3"/>
        <w:ind w:left="0"/>
        <w:rPr>
          <w:sz w:val="20"/>
          <w:szCs w:val="20"/>
        </w:rPr>
      </w:pPr>
      <w:r>
        <w:rPr>
          <w:b/>
          <w:sz w:val="20"/>
          <w:szCs w:val="20"/>
        </w:rPr>
        <w:t>6.4.1.</w:t>
      </w:r>
      <w:r>
        <w:rPr>
          <w:sz w:val="20"/>
          <w:szCs w:val="20"/>
        </w:rPr>
        <w:t xml:space="preserve"> Częstotliwość oraz zakres pomiarów</w:t>
      </w:r>
    </w:p>
    <w:p w:rsidR="007C4CDC" w:rsidRDefault="007C4CDC" w:rsidP="007C4CDC">
      <w:pPr>
        <w:pStyle w:val="Tekstpodstawowywcity3"/>
        <w:rPr>
          <w:sz w:val="20"/>
          <w:szCs w:val="20"/>
        </w:rPr>
      </w:pPr>
      <w:r>
        <w:rPr>
          <w:sz w:val="20"/>
          <w:szCs w:val="20"/>
        </w:rPr>
        <w:t>Częstotliwość oraz zakres pomiarów dotyczących cech geometrycznych podbudowy podano w tablicy 3.</w:t>
      </w:r>
    </w:p>
    <w:p w:rsidR="007C4CDC" w:rsidRDefault="007C4CDC" w:rsidP="007C4CDC">
      <w:pPr>
        <w:pStyle w:val="Tekstpodstawowy2"/>
      </w:pPr>
      <w:r>
        <w:t>Tablica 3. Częstotliwość oraz zakres pomiarów wykonanej podbudowy z kruszywa stabilizowanego mechanicznie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4819"/>
        <w:gridCol w:w="3686"/>
      </w:tblGrid>
      <w:tr w:rsidR="007C4CDC" w:rsidTr="00AA11D0">
        <w:trPr>
          <w:trHeight w:val="538"/>
        </w:trPr>
        <w:tc>
          <w:tcPr>
            <w:tcW w:w="709" w:type="dxa"/>
            <w:tcBorders>
              <w:top w:val="single" w:sz="4" w:space="0" w:color="auto"/>
              <w:left w:val="single" w:sz="4" w:space="0" w:color="auto"/>
              <w:bottom w:val="single" w:sz="4" w:space="0" w:color="auto"/>
            </w:tcBorders>
            <w:vAlign w:val="center"/>
          </w:tcPr>
          <w:p w:rsidR="007C4CDC" w:rsidRDefault="007C4CDC" w:rsidP="00AA11D0">
            <w:pPr>
              <w:jc w:val="center"/>
              <w:rPr>
                <w:sz w:val="20"/>
              </w:rPr>
            </w:pPr>
            <w:r>
              <w:rPr>
                <w:sz w:val="20"/>
              </w:rPr>
              <w:t>Lp.</w:t>
            </w:r>
          </w:p>
        </w:tc>
        <w:tc>
          <w:tcPr>
            <w:tcW w:w="4819" w:type="dxa"/>
            <w:tcBorders>
              <w:top w:val="single" w:sz="4" w:space="0" w:color="auto"/>
              <w:bottom w:val="single" w:sz="4" w:space="0" w:color="auto"/>
            </w:tcBorders>
            <w:vAlign w:val="center"/>
          </w:tcPr>
          <w:p w:rsidR="007C4CDC" w:rsidRDefault="007C4CDC" w:rsidP="00AA11D0">
            <w:pPr>
              <w:jc w:val="center"/>
              <w:rPr>
                <w:sz w:val="20"/>
              </w:rPr>
            </w:pPr>
            <w:r>
              <w:rPr>
                <w:sz w:val="20"/>
              </w:rPr>
              <w:t>Wyszczególnienie badań i pomiarów</w:t>
            </w:r>
          </w:p>
        </w:tc>
        <w:tc>
          <w:tcPr>
            <w:tcW w:w="3686" w:type="dxa"/>
            <w:tcBorders>
              <w:top w:val="single" w:sz="4" w:space="0" w:color="auto"/>
              <w:bottom w:val="single" w:sz="4" w:space="0" w:color="auto"/>
              <w:right w:val="single" w:sz="4" w:space="0" w:color="auto"/>
            </w:tcBorders>
            <w:vAlign w:val="center"/>
          </w:tcPr>
          <w:p w:rsidR="007C4CDC" w:rsidRDefault="007C4CDC" w:rsidP="00AA11D0">
            <w:pPr>
              <w:jc w:val="center"/>
              <w:rPr>
                <w:sz w:val="20"/>
              </w:rPr>
            </w:pPr>
            <w:r>
              <w:rPr>
                <w:sz w:val="20"/>
              </w:rPr>
              <w:t>Minimalna częstotliwość pomiarów</w:t>
            </w:r>
          </w:p>
        </w:tc>
      </w:tr>
      <w:tr w:rsidR="007C4CDC" w:rsidTr="00AA11D0">
        <w:tc>
          <w:tcPr>
            <w:tcW w:w="709" w:type="dxa"/>
            <w:tcBorders>
              <w:top w:val="single" w:sz="4" w:space="0" w:color="auto"/>
            </w:tcBorders>
          </w:tcPr>
          <w:p w:rsidR="007C4CDC" w:rsidRDefault="007C4CDC" w:rsidP="00AA11D0">
            <w:pPr>
              <w:jc w:val="center"/>
              <w:rPr>
                <w:sz w:val="20"/>
              </w:rPr>
            </w:pPr>
            <w:r>
              <w:rPr>
                <w:sz w:val="20"/>
              </w:rPr>
              <w:t>1</w:t>
            </w:r>
          </w:p>
        </w:tc>
        <w:tc>
          <w:tcPr>
            <w:tcW w:w="4819" w:type="dxa"/>
            <w:tcBorders>
              <w:top w:val="single" w:sz="4" w:space="0" w:color="auto"/>
            </w:tcBorders>
          </w:tcPr>
          <w:p w:rsidR="007C4CDC" w:rsidRDefault="007C4CDC" w:rsidP="00AA11D0">
            <w:pPr>
              <w:rPr>
                <w:sz w:val="20"/>
              </w:rPr>
            </w:pPr>
            <w:r>
              <w:rPr>
                <w:sz w:val="20"/>
              </w:rPr>
              <w:t>Szerokość podbudowy</w:t>
            </w:r>
          </w:p>
        </w:tc>
        <w:tc>
          <w:tcPr>
            <w:tcW w:w="3686" w:type="dxa"/>
            <w:tcBorders>
              <w:top w:val="single" w:sz="4" w:space="0" w:color="auto"/>
            </w:tcBorders>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2</w:t>
            </w:r>
          </w:p>
        </w:tc>
        <w:tc>
          <w:tcPr>
            <w:tcW w:w="4819" w:type="dxa"/>
          </w:tcPr>
          <w:p w:rsidR="007C4CDC" w:rsidRDefault="007C4CDC" w:rsidP="00AA11D0">
            <w:pPr>
              <w:rPr>
                <w:sz w:val="20"/>
              </w:rPr>
            </w:pPr>
            <w:r>
              <w:rPr>
                <w:sz w:val="20"/>
              </w:rPr>
              <w:t>Równość podłużna</w:t>
            </w:r>
          </w:p>
        </w:tc>
        <w:tc>
          <w:tcPr>
            <w:tcW w:w="3686" w:type="dxa"/>
          </w:tcPr>
          <w:p w:rsidR="007C4CDC" w:rsidRDefault="007C4CDC" w:rsidP="00AA11D0">
            <w:pPr>
              <w:rPr>
                <w:sz w:val="20"/>
              </w:rPr>
            </w:pPr>
            <w:r>
              <w:rPr>
                <w:sz w:val="20"/>
              </w:rPr>
              <w:t xml:space="preserve">w sposób ciągły </w:t>
            </w:r>
            <w:proofErr w:type="spellStart"/>
            <w:r>
              <w:rPr>
                <w:sz w:val="20"/>
              </w:rPr>
              <w:t>planografem</w:t>
            </w:r>
            <w:proofErr w:type="spellEnd"/>
            <w:r>
              <w:rPr>
                <w:sz w:val="20"/>
              </w:rPr>
              <w:t xml:space="preserve"> albo co 20 m łatą na każdym pasie ruchu</w:t>
            </w:r>
          </w:p>
        </w:tc>
      </w:tr>
      <w:tr w:rsidR="007C4CDC" w:rsidTr="00AA11D0">
        <w:tc>
          <w:tcPr>
            <w:tcW w:w="709" w:type="dxa"/>
          </w:tcPr>
          <w:p w:rsidR="007C4CDC" w:rsidRDefault="007C4CDC" w:rsidP="00AA11D0">
            <w:pPr>
              <w:jc w:val="center"/>
              <w:rPr>
                <w:sz w:val="20"/>
              </w:rPr>
            </w:pPr>
            <w:r>
              <w:rPr>
                <w:sz w:val="20"/>
              </w:rPr>
              <w:t>3</w:t>
            </w:r>
          </w:p>
        </w:tc>
        <w:tc>
          <w:tcPr>
            <w:tcW w:w="4819" w:type="dxa"/>
          </w:tcPr>
          <w:p w:rsidR="007C4CDC" w:rsidRDefault="007C4CDC" w:rsidP="00AA11D0">
            <w:pPr>
              <w:rPr>
                <w:sz w:val="20"/>
              </w:rPr>
            </w:pPr>
            <w:r>
              <w:rPr>
                <w:sz w:val="20"/>
              </w:rPr>
              <w:t>Równość poprzeczna</w:t>
            </w:r>
          </w:p>
        </w:tc>
        <w:tc>
          <w:tcPr>
            <w:tcW w:w="3686" w:type="dxa"/>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4</w:t>
            </w:r>
          </w:p>
        </w:tc>
        <w:tc>
          <w:tcPr>
            <w:tcW w:w="4819" w:type="dxa"/>
          </w:tcPr>
          <w:p w:rsidR="007C4CDC" w:rsidRDefault="007C4CDC" w:rsidP="00AA11D0">
            <w:pPr>
              <w:rPr>
                <w:sz w:val="20"/>
              </w:rPr>
            </w:pPr>
            <w:r>
              <w:rPr>
                <w:sz w:val="20"/>
              </w:rPr>
              <w:t>Spadki poprzeczne*)</w:t>
            </w:r>
          </w:p>
        </w:tc>
        <w:tc>
          <w:tcPr>
            <w:tcW w:w="3686" w:type="dxa"/>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5</w:t>
            </w:r>
          </w:p>
        </w:tc>
        <w:tc>
          <w:tcPr>
            <w:tcW w:w="4819" w:type="dxa"/>
          </w:tcPr>
          <w:p w:rsidR="007C4CDC" w:rsidRDefault="007C4CDC" w:rsidP="00AA11D0">
            <w:pPr>
              <w:rPr>
                <w:sz w:val="20"/>
              </w:rPr>
            </w:pPr>
            <w:r>
              <w:rPr>
                <w:sz w:val="20"/>
              </w:rPr>
              <w:t>Rzędne wysokościowe</w:t>
            </w:r>
          </w:p>
        </w:tc>
        <w:tc>
          <w:tcPr>
            <w:tcW w:w="3686" w:type="dxa"/>
          </w:tcPr>
          <w:p w:rsidR="007C4CDC" w:rsidRDefault="007C4CDC" w:rsidP="00AA11D0">
            <w:pPr>
              <w:rPr>
                <w:sz w:val="20"/>
              </w:rPr>
            </w:pPr>
            <w:r>
              <w:rPr>
                <w:sz w:val="20"/>
              </w:rPr>
              <w:t>co 100 m</w:t>
            </w:r>
          </w:p>
        </w:tc>
      </w:tr>
      <w:tr w:rsidR="007C4CDC" w:rsidTr="00AA11D0">
        <w:tc>
          <w:tcPr>
            <w:tcW w:w="709" w:type="dxa"/>
          </w:tcPr>
          <w:p w:rsidR="007C4CDC" w:rsidRDefault="007C4CDC" w:rsidP="00AA11D0">
            <w:pPr>
              <w:jc w:val="center"/>
              <w:rPr>
                <w:sz w:val="20"/>
              </w:rPr>
            </w:pPr>
            <w:r>
              <w:rPr>
                <w:sz w:val="20"/>
              </w:rPr>
              <w:t>6</w:t>
            </w:r>
          </w:p>
        </w:tc>
        <w:tc>
          <w:tcPr>
            <w:tcW w:w="4819" w:type="dxa"/>
          </w:tcPr>
          <w:p w:rsidR="007C4CDC" w:rsidRDefault="007C4CDC" w:rsidP="00AA11D0">
            <w:pPr>
              <w:rPr>
                <w:sz w:val="20"/>
              </w:rPr>
            </w:pPr>
            <w:r>
              <w:rPr>
                <w:sz w:val="20"/>
              </w:rPr>
              <w:t>Ukształtowanie osi w planie*</w:t>
            </w:r>
          </w:p>
        </w:tc>
        <w:tc>
          <w:tcPr>
            <w:tcW w:w="3686" w:type="dxa"/>
          </w:tcPr>
          <w:p w:rsidR="007C4CDC" w:rsidRDefault="007C4CDC" w:rsidP="00AA11D0">
            <w:pPr>
              <w:rPr>
                <w:sz w:val="20"/>
              </w:rPr>
            </w:pPr>
            <w:r>
              <w:rPr>
                <w:sz w:val="20"/>
              </w:rPr>
              <w:t>co 100 m</w:t>
            </w:r>
          </w:p>
        </w:tc>
      </w:tr>
      <w:tr w:rsidR="007C4CDC" w:rsidTr="00AA11D0">
        <w:tc>
          <w:tcPr>
            <w:tcW w:w="709" w:type="dxa"/>
          </w:tcPr>
          <w:p w:rsidR="007C4CDC" w:rsidRDefault="007C4CDC" w:rsidP="00AA11D0">
            <w:pPr>
              <w:jc w:val="center"/>
              <w:rPr>
                <w:sz w:val="20"/>
              </w:rPr>
            </w:pPr>
            <w:r>
              <w:rPr>
                <w:sz w:val="20"/>
              </w:rPr>
              <w:t>7</w:t>
            </w:r>
          </w:p>
        </w:tc>
        <w:tc>
          <w:tcPr>
            <w:tcW w:w="4819" w:type="dxa"/>
          </w:tcPr>
          <w:p w:rsidR="007C4CDC" w:rsidRDefault="007C4CDC" w:rsidP="00AA11D0">
            <w:pPr>
              <w:rPr>
                <w:sz w:val="20"/>
              </w:rPr>
            </w:pPr>
            <w:r>
              <w:rPr>
                <w:sz w:val="20"/>
              </w:rPr>
              <w:t>Grubość podbudowy</w:t>
            </w:r>
          </w:p>
        </w:tc>
        <w:tc>
          <w:tcPr>
            <w:tcW w:w="3686" w:type="dxa"/>
          </w:tcPr>
          <w:p w:rsidR="007C4CDC" w:rsidRDefault="007C4CDC" w:rsidP="00AA11D0">
            <w:pPr>
              <w:rPr>
                <w:sz w:val="20"/>
              </w:rPr>
            </w:pPr>
            <w:r>
              <w:rPr>
                <w:sz w:val="20"/>
              </w:rPr>
              <w:t>Podczas budowy:</w:t>
            </w:r>
          </w:p>
          <w:p w:rsidR="007C4CDC" w:rsidRDefault="007C4CDC" w:rsidP="00AA11D0">
            <w:pPr>
              <w:rPr>
                <w:sz w:val="20"/>
              </w:rPr>
            </w:pPr>
            <w:r>
              <w:rPr>
                <w:sz w:val="20"/>
              </w:rPr>
              <w:t>w 3 punktach na każdej działce roboczej, lecz nie rzadziej niż raz na 1000 m2</w:t>
            </w:r>
          </w:p>
          <w:p w:rsidR="007C4CDC" w:rsidRDefault="007C4CDC" w:rsidP="00AA11D0">
            <w:pPr>
              <w:rPr>
                <w:sz w:val="20"/>
              </w:rPr>
            </w:pPr>
            <w:r>
              <w:rPr>
                <w:sz w:val="20"/>
              </w:rPr>
              <w:t>Przed odbiorem:</w:t>
            </w:r>
          </w:p>
          <w:p w:rsidR="007C4CDC" w:rsidRDefault="007C4CDC" w:rsidP="00AA11D0">
            <w:pPr>
              <w:rPr>
                <w:sz w:val="20"/>
              </w:rPr>
            </w:pPr>
            <w:r>
              <w:rPr>
                <w:sz w:val="20"/>
              </w:rPr>
              <w:t>w 3 punktach, lecz nie rzadziej niż raz na 2000 m2</w:t>
            </w:r>
          </w:p>
        </w:tc>
      </w:tr>
      <w:tr w:rsidR="007C4CDC" w:rsidTr="00AA11D0">
        <w:trPr>
          <w:cantSplit/>
          <w:trHeight w:val="1467"/>
        </w:trPr>
        <w:tc>
          <w:tcPr>
            <w:tcW w:w="709" w:type="dxa"/>
          </w:tcPr>
          <w:p w:rsidR="007C4CDC" w:rsidRDefault="007C4CDC" w:rsidP="00AA11D0">
            <w:pPr>
              <w:jc w:val="center"/>
              <w:rPr>
                <w:sz w:val="20"/>
              </w:rPr>
            </w:pPr>
            <w:r>
              <w:rPr>
                <w:sz w:val="20"/>
              </w:rPr>
              <w:t>8</w:t>
            </w:r>
          </w:p>
        </w:tc>
        <w:tc>
          <w:tcPr>
            <w:tcW w:w="4819" w:type="dxa"/>
          </w:tcPr>
          <w:p w:rsidR="007C4CDC" w:rsidRDefault="007C4CDC" w:rsidP="00AA11D0">
            <w:pPr>
              <w:rPr>
                <w:sz w:val="20"/>
              </w:rPr>
            </w:pPr>
            <w:r>
              <w:rPr>
                <w:sz w:val="20"/>
              </w:rPr>
              <w:t>Nośność podbudowy:</w:t>
            </w:r>
          </w:p>
          <w:p w:rsidR="007C4CDC" w:rsidRDefault="007C4CDC" w:rsidP="007C4CDC">
            <w:pPr>
              <w:numPr>
                <w:ilvl w:val="0"/>
                <w:numId w:val="4"/>
              </w:numPr>
              <w:jc w:val="both"/>
              <w:rPr>
                <w:sz w:val="20"/>
              </w:rPr>
            </w:pPr>
            <w:r>
              <w:rPr>
                <w:sz w:val="20"/>
              </w:rPr>
              <w:t>moduł odkształceni</w:t>
            </w:r>
          </w:p>
          <w:p w:rsidR="007C4CDC" w:rsidRDefault="007C4CDC" w:rsidP="00AA11D0">
            <w:pPr>
              <w:ind w:left="720"/>
              <w:rPr>
                <w:sz w:val="20"/>
              </w:rPr>
            </w:pPr>
          </w:p>
          <w:p w:rsidR="007C4CDC" w:rsidRDefault="007C4CDC" w:rsidP="007C4CDC">
            <w:pPr>
              <w:numPr>
                <w:ilvl w:val="0"/>
                <w:numId w:val="4"/>
              </w:numPr>
              <w:jc w:val="both"/>
              <w:rPr>
                <w:sz w:val="20"/>
              </w:rPr>
            </w:pPr>
            <w:r>
              <w:rPr>
                <w:sz w:val="20"/>
              </w:rPr>
              <w:t>ugięcie sprężyste</w:t>
            </w:r>
          </w:p>
        </w:tc>
        <w:tc>
          <w:tcPr>
            <w:tcW w:w="3686" w:type="dxa"/>
            <w:tcBorders>
              <w:bottom w:val="single" w:sz="4" w:space="0" w:color="auto"/>
            </w:tcBorders>
          </w:tcPr>
          <w:p w:rsidR="007C4CDC" w:rsidRDefault="007C4CDC" w:rsidP="00AA11D0">
            <w:pPr>
              <w:rPr>
                <w:sz w:val="20"/>
              </w:rPr>
            </w:pPr>
          </w:p>
          <w:p w:rsidR="007C4CDC" w:rsidRDefault="007C4CDC" w:rsidP="00AA11D0">
            <w:pPr>
              <w:rPr>
                <w:sz w:val="20"/>
              </w:rPr>
            </w:pPr>
            <w:r>
              <w:rPr>
                <w:sz w:val="20"/>
              </w:rPr>
              <w:t>co najmniej w dwóch przekrojach na każde 1000 m</w:t>
            </w:r>
          </w:p>
          <w:p w:rsidR="007C4CDC" w:rsidRDefault="007C4CDC" w:rsidP="00AA11D0">
            <w:pPr>
              <w:rPr>
                <w:sz w:val="20"/>
              </w:rPr>
            </w:pPr>
            <w:r>
              <w:rPr>
                <w:sz w:val="20"/>
              </w:rPr>
              <w:t>co najmniej w 20 punktach na każde 1000 m</w:t>
            </w:r>
          </w:p>
        </w:tc>
      </w:tr>
    </w:tbl>
    <w:p w:rsidR="007C4CDC" w:rsidRDefault="007C4CDC" w:rsidP="007C4CDC">
      <w:pPr>
        <w:rPr>
          <w:sz w:val="20"/>
        </w:rPr>
      </w:pPr>
      <w:r>
        <w:rPr>
          <w:sz w:val="20"/>
        </w:rPr>
        <w:t>*) Dodatkowe pomiary spadków poprzecznych i ukształtowania osi w planie należy wykonać w punktach głównych łuków poziomych.</w:t>
      </w:r>
    </w:p>
    <w:p w:rsidR="007C4CDC" w:rsidRDefault="007C4CDC" w:rsidP="007C4CDC">
      <w:pPr>
        <w:rPr>
          <w:sz w:val="20"/>
        </w:rPr>
      </w:pPr>
    </w:p>
    <w:p w:rsidR="007C4CDC" w:rsidRDefault="007C4CDC" w:rsidP="007C4CDC">
      <w:pPr>
        <w:pStyle w:val="Nagwek3"/>
        <w:numPr>
          <w:ilvl w:val="2"/>
          <w:numId w:val="0"/>
        </w:numPr>
        <w:overflowPunct/>
        <w:autoSpaceDE/>
        <w:autoSpaceDN/>
        <w:adjustRightInd/>
        <w:spacing w:before="0" w:after="0"/>
        <w:textAlignment w:val="auto"/>
        <w:rPr>
          <w:szCs w:val="24"/>
        </w:rPr>
      </w:pPr>
      <w:r>
        <w:rPr>
          <w:b/>
        </w:rPr>
        <w:t>6.4.2.</w:t>
      </w:r>
      <w:r>
        <w:rPr>
          <w:szCs w:val="24"/>
        </w:rPr>
        <w:t>Szerokość podbudowy</w:t>
      </w:r>
    </w:p>
    <w:p w:rsidR="007C4CDC" w:rsidRDefault="007C4CDC" w:rsidP="007C4CDC">
      <w:pPr>
        <w:pStyle w:val="Tekstpodstawowywcity3"/>
        <w:rPr>
          <w:sz w:val="20"/>
          <w:szCs w:val="24"/>
        </w:rPr>
      </w:pPr>
      <w:r>
        <w:rPr>
          <w:sz w:val="20"/>
          <w:szCs w:val="24"/>
        </w:rPr>
        <w:t>Szerokość podbudowy nie może różnić się od szerokości projektowanej o więcej niż +10 cm, -5 cm.</w:t>
      </w:r>
    </w:p>
    <w:p w:rsidR="007C4CDC" w:rsidRDefault="007C4CDC" w:rsidP="007C4CDC">
      <w:pPr>
        <w:rPr>
          <w:sz w:val="20"/>
        </w:rPr>
      </w:pPr>
      <w:r>
        <w:rPr>
          <w:sz w:val="20"/>
        </w:rPr>
        <w:t>Na jezdniach bez krawężników szerokość podbudowy powinna być większa od szerokości warstwy wyżej leżącej o co najmniej 25 cm lub o wartość wskazaną na przekroju normalnym.</w:t>
      </w:r>
    </w:p>
    <w:p w:rsidR="007C4CDC" w:rsidRDefault="007C4CDC" w:rsidP="007C4CDC">
      <w:pPr>
        <w:pStyle w:val="Nagwek3"/>
        <w:numPr>
          <w:ilvl w:val="2"/>
          <w:numId w:val="0"/>
        </w:numPr>
        <w:overflowPunct/>
        <w:autoSpaceDE/>
        <w:autoSpaceDN/>
        <w:adjustRightInd/>
        <w:spacing w:before="0" w:after="0"/>
        <w:textAlignment w:val="auto"/>
        <w:rPr>
          <w:szCs w:val="24"/>
        </w:rPr>
      </w:pPr>
      <w:r>
        <w:rPr>
          <w:b/>
        </w:rPr>
        <w:t>6.4.3.</w:t>
      </w:r>
      <w:r>
        <w:rPr>
          <w:szCs w:val="24"/>
        </w:rPr>
        <w:t>Równość podbudowy</w:t>
      </w:r>
    </w:p>
    <w:p w:rsidR="007C4CDC" w:rsidRDefault="007C4CDC" w:rsidP="007C4CDC">
      <w:pPr>
        <w:pStyle w:val="Tekstpodstawowywcity3"/>
        <w:rPr>
          <w:sz w:val="20"/>
          <w:szCs w:val="24"/>
        </w:rPr>
      </w:pPr>
      <w:r>
        <w:rPr>
          <w:sz w:val="20"/>
          <w:szCs w:val="24"/>
        </w:rPr>
        <w:t xml:space="preserve">Nierówności podłużne podbudowy należy mierzyć 4-metrową łatą lub </w:t>
      </w:r>
      <w:proofErr w:type="spellStart"/>
      <w:r>
        <w:rPr>
          <w:sz w:val="20"/>
          <w:szCs w:val="24"/>
        </w:rPr>
        <w:t>planografem</w:t>
      </w:r>
      <w:proofErr w:type="spellEnd"/>
      <w:r>
        <w:rPr>
          <w:sz w:val="20"/>
          <w:szCs w:val="24"/>
        </w:rPr>
        <w:t>, zgodnie z BN-68/8931-04. Nierówności poprzeczne podbudowy należy mierzyć 4-metrową łatą. Nierówności podbudowy nie mogą przekraczać:</w:t>
      </w:r>
    </w:p>
    <w:p w:rsidR="007C4CDC" w:rsidRDefault="007C4CDC" w:rsidP="007C4CDC">
      <w:pPr>
        <w:numPr>
          <w:ilvl w:val="0"/>
          <w:numId w:val="5"/>
        </w:numPr>
        <w:jc w:val="both"/>
        <w:rPr>
          <w:sz w:val="20"/>
        </w:rPr>
      </w:pPr>
      <w:r>
        <w:rPr>
          <w:sz w:val="20"/>
        </w:rPr>
        <w:lastRenderedPageBreak/>
        <w:t>10 mm dla podbudowy zasadniczej,</w:t>
      </w:r>
    </w:p>
    <w:p w:rsidR="007C4CDC" w:rsidRDefault="007C4CDC" w:rsidP="007C4CDC">
      <w:pPr>
        <w:numPr>
          <w:ilvl w:val="0"/>
          <w:numId w:val="5"/>
        </w:numPr>
        <w:jc w:val="both"/>
        <w:rPr>
          <w:sz w:val="20"/>
        </w:rPr>
      </w:pPr>
      <w:r>
        <w:rPr>
          <w:sz w:val="20"/>
        </w:rPr>
        <w:t>20 mm dla podbudowy pomocniczej.</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6.4.4.</w:t>
      </w:r>
      <w:r>
        <w:rPr>
          <w:szCs w:val="24"/>
        </w:rPr>
        <w:t xml:space="preserve"> Spadki poprzeczne podbudowy</w:t>
      </w:r>
    </w:p>
    <w:p w:rsidR="007C4CDC" w:rsidRDefault="007C4CDC" w:rsidP="007C4CDC">
      <w:pPr>
        <w:pStyle w:val="Tekstpodstawowywcity3"/>
        <w:rPr>
          <w:sz w:val="20"/>
          <w:szCs w:val="24"/>
        </w:rPr>
      </w:pPr>
      <w:r>
        <w:rPr>
          <w:sz w:val="20"/>
          <w:szCs w:val="24"/>
        </w:rPr>
        <w:t>Spadki poprzeczne podbudowy na prostych i łukach powinny być zgodne z dokumentacją projektową, z tolerancją ± 0,5 %.</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6.4.5.</w:t>
      </w:r>
      <w:r>
        <w:rPr>
          <w:szCs w:val="24"/>
        </w:rPr>
        <w:t xml:space="preserve"> Rzędne wysokościowe podbudowy</w:t>
      </w:r>
    </w:p>
    <w:p w:rsidR="007C4CDC" w:rsidRDefault="007C4CDC" w:rsidP="007C4CDC">
      <w:pPr>
        <w:pStyle w:val="Tekstpodstawowywcity3"/>
        <w:rPr>
          <w:sz w:val="20"/>
          <w:szCs w:val="24"/>
        </w:rPr>
      </w:pPr>
      <w:r>
        <w:rPr>
          <w:sz w:val="20"/>
          <w:szCs w:val="24"/>
        </w:rPr>
        <w:t>Różnice pomiędzy rzędnymi wysokościowymi podbudowy i rzędnymi projektowanymi nie powinny przekraczać + 1 cm, -2 cm.</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6.4.6.</w:t>
      </w:r>
      <w:r>
        <w:rPr>
          <w:szCs w:val="24"/>
        </w:rPr>
        <w:t xml:space="preserve"> Ukształtowanie osi podbudowy </w:t>
      </w:r>
    </w:p>
    <w:p w:rsidR="007C4CDC" w:rsidRDefault="007C4CDC" w:rsidP="007C4CDC">
      <w:pPr>
        <w:pStyle w:val="Tekstpodstawowywcity3"/>
        <w:rPr>
          <w:sz w:val="20"/>
          <w:szCs w:val="24"/>
        </w:rPr>
      </w:pPr>
      <w:r>
        <w:rPr>
          <w:sz w:val="20"/>
          <w:szCs w:val="24"/>
        </w:rPr>
        <w:t>Oś podbudowy w planie nie może być przesunięta w stosunku do osi projektowanej o więcej niż  5 cm.</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6.4.7.</w:t>
      </w:r>
      <w:r>
        <w:rPr>
          <w:szCs w:val="24"/>
        </w:rPr>
        <w:t xml:space="preserve"> Grubość podbudowy </w:t>
      </w:r>
    </w:p>
    <w:p w:rsidR="007C4CDC" w:rsidRDefault="007C4CDC" w:rsidP="007C4CDC">
      <w:pPr>
        <w:pStyle w:val="Tekstpodstawowywcity3"/>
        <w:rPr>
          <w:sz w:val="20"/>
          <w:szCs w:val="24"/>
        </w:rPr>
      </w:pPr>
      <w:r>
        <w:rPr>
          <w:sz w:val="20"/>
          <w:szCs w:val="24"/>
        </w:rPr>
        <w:t>Grubość podbudowy nie może się różnić od grubości projektowanej o więcej niż:</w:t>
      </w:r>
    </w:p>
    <w:p w:rsidR="007C4CDC" w:rsidRDefault="007C4CDC" w:rsidP="007C4CDC">
      <w:pPr>
        <w:numPr>
          <w:ilvl w:val="0"/>
          <w:numId w:val="5"/>
        </w:numPr>
        <w:jc w:val="both"/>
        <w:rPr>
          <w:sz w:val="20"/>
        </w:rPr>
      </w:pPr>
      <w:r>
        <w:rPr>
          <w:sz w:val="20"/>
        </w:rPr>
        <w:t>dla podbudowy zasadniczej ±10%,</w:t>
      </w:r>
    </w:p>
    <w:p w:rsidR="007C4CDC" w:rsidRDefault="007C4CDC" w:rsidP="007C4CDC">
      <w:pPr>
        <w:numPr>
          <w:ilvl w:val="0"/>
          <w:numId w:val="5"/>
        </w:numPr>
        <w:jc w:val="both"/>
        <w:rPr>
          <w:sz w:val="20"/>
        </w:rPr>
      </w:pPr>
      <w:r>
        <w:rPr>
          <w:sz w:val="20"/>
        </w:rPr>
        <w:t>dla podbudowy pomocniczej +10%, -15%.</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6.4.8.</w:t>
      </w:r>
      <w:r>
        <w:rPr>
          <w:szCs w:val="24"/>
        </w:rPr>
        <w:t xml:space="preserve"> Nośność podbudowy</w:t>
      </w:r>
    </w:p>
    <w:p w:rsidR="007C4CDC" w:rsidRDefault="007C4CDC" w:rsidP="007C4CDC">
      <w:pPr>
        <w:numPr>
          <w:ilvl w:val="0"/>
          <w:numId w:val="5"/>
        </w:numPr>
        <w:jc w:val="both"/>
        <w:rPr>
          <w:sz w:val="20"/>
        </w:rPr>
      </w:pPr>
      <w:r>
        <w:rPr>
          <w:sz w:val="20"/>
        </w:rPr>
        <w:t>moduł odkształcenia wg „Instrukcji badań podłoża gruntowego budowli drogowych i mostowych”- część 2 pkt. 2.4.4 powinien być zgodny z podanym w tablicy 4,</w:t>
      </w:r>
    </w:p>
    <w:p w:rsidR="007C4CDC" w:rsidRDefault="007C4CDC" w:rsidP="007C4CDC">
      <w:pPr>
        <w:numPr>
          <w:ilvl w:val="0"/>
          <w:numId w:val="5"/>
        </w:numPr>
        <w:jc w:val="both"/>
        <w:rPr>
          <w:sz w:val="20"/>
        </w:rPr>
      </w:pPr>
      <w:r>
        <w:rPr>
          <w:sz w:val="20"/>
        </w:rPr>
        <w:t>ugięcie sprężyste wg BN-70/8931-06 powinno być zgodne z podanym w tablicy 4.</w:t>
      </w:r>
    </w:p>
    <w:p w:rsidR="007C4CDC" w:rsidRDefault="007C4CDC" w:rsidP="007C4CDC">
      <w:pPr>
        <w:rPr>
          <w:sz w:val="20"/>
        </w:rPr>
      </w:pPr>
    </w:p>
    <w:p w:rsidR="007C4CDC" w:rsidRDefault="007C4CDC" w:rsidP="007C4CDC">
      <w:pPr>
        <w:rPr>
          <w:sz w:val="20"/>
        </w:rPr>
      </w:pPr>
      <w:r>
        <w:rPr>
          <w:sz w:val="20"/>
        </w:rPr>
        <w:t xml:space="preserve">Tablica 4. Cechy podbudowy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1488"/>
        <w:gridCol w:w="1489"/>
        <w:gridCol w:w="1488"/>
        <w:gridCol w:w="1488"/>
        <w:gridCol w:w="1489"/>
      </w:tblGrid>
      <w:tr w:rsidR="007C4CDC" w:rsidTr="00AA11D0">
        <w:trPr>
          <w:cantSplit/>
        </w:trPr>
        <w:tc>
          <w:tcPr>
            <w:tcW w:w="1488" w:type="dxa"/>
            <w:vMerge w:val="restart"/>
            <w:vAlign w:val="center"/>
          </w:tcPr>
          <w:p w:rsidR="007C4CDC" w:rsidRDefault="007C4CDC" w:rsidP="00AA11D0">
            <w:pPr>
              <w:jc w:val="center"/>
              <w:rPr>
                <w:sz w:val="20"/>
              </w:rPr>
            </w:pPr>
            <w:r>
              <w:rPr>
                <w:sz w:val="20"/>
              </w:rPr>
              <w:t>Podbudowa z kruszywa o wskaźniku wnoś nie mniejszym niż , %</w:t>
            </w:r>
          </w:p>
        </w:tc>
        <w:tc>
          <w:tcPr>
            <w:tcW w:w="7442" w:type="dxa"/>
            <w:gridSpan w:val="5"/>
          </w:tcPr>
          <w:p w:rsidR="007C4CDC" w:rsidRDefault="007C4CDC" w:rsidP="00AA11D0">
            <w:pPr>
              <w:jc w:val="center"/>
              <w:rPr>
                <w:sz w:val="20"/>
              </w:rPr>
            </w:pPr>
            <w:r>
              <w:rPr>
                <w:sz w:val="20"/>
              </w:rPr>
              <w:t>Wymagane cechy podbudowy</w:t>
            </w:r>
          </w:p>
        </w:tc>
      </w:tr>
      <w:tr w:rsidR="007C4CDC" w:rsidTr="00AA11D0">
        <w:trPr>
          <w:cantSplit/>
        </w:trPr>
        <w:tc>
          <w:tcPr>
            <w:tcW w:w="1488" w:type="dxa"/>
            <w:vMerge/>
          </w:tcPr>
          <w:p w:rsidR="007C4CDC" w:rsidRDefault="007C4CDC" w:rsidP="00AA11D0">
            <w:pPr>
              <w:jc w:val="center"/>
              <w:rPr>
                <w:sz w:val="20"/>
              </w:rPr>
            </w:pPr>
          </w:p>
        </w:tc>
        <w:tc>
          <w:tcPr>
            <w:tcW w:w="1488" w:type="dxa"/>
            <w:vMerge w:val="restart"/>
            <w:vAlign w:val="center"/>
          </w:tcPr>
          <w:p w:rsidR="007C4CDC" w:rsidRDefault="007C4CDC" w:rsidP="00AA11D0">
            <w:pPr>
              <w:jc w:val="center"/>
              <w:rPr>
                <w:sz w:val="20"/>
              </w:rPr>
            </w:pPr>
            <w:r>
              <w:rPr>
                <w:sz w:val="20"/>
              </w:rPr>
              <w:t>Wskaźnik zagęszczenia IS nie mniejszy niż</w:t>
            </w:r>
          </w:p>
        </w:tc>
        <w:tc>
          <w:tcPr>
            <w:tcW w:w="2977" w:type="dxa"/>
            <w:gridSpan w:val="2"/>
            <w:vAlign w:val="center"/>
          </w:tcPr>
          <w:p w:rsidR="007C4CDC" w:rsidRDefault="007C4CDC" w:rsidP="00AA11D0">
            <w:pPr>
              <w:jc w:val="center"/>
              <w:rPr>
                <w:sz w:val="20"/>
              </w:rPr>
            </w:pPr>
            <w:r>
              <w:rPr>
                <w:sz w:val="20"/>
              </w:rPr>
              <w:t>Maksymalne ugięcie sprężysta pod kołem, mm</w:t>
            </w:r>
          </w:p>
        </w:tc>
        <w:tc>
          <w:tcPr>
            <w:tcW w:w="2977" w:type="dxa"/>
            <w:gridSpan w:val="2"/>
          </w:tcPr>
          <w:p w:rsidR="007C4CDC" w:rsidRDefault="007C4CDC" w:rsidP="00AA11D0">
            <w:pPr>
              <w:jc w:val="center"/>
              <w:rPr>
                <w:sz w:val="20"/>
              </w:rPr>
            </w:pPr>
            <w:r>
              <w:rPr>
                <w:sz w:val="20"/>
              </w:rPr>
              <w:t xml:space="preserve">Minimalny moduł odkształcenia mierzony płytą o średnicy 30 cm, </w:t>
            </w:r>
            <w:proofErr w:type="spellStart"/>
            <w:r>
              <w:rPr>
                <w:sz w:val="20"/>
              </w:rPr>
              <w:t>MPa</w:t>
            </w:r>
            <w:proofErr w:type="spellEnd"/>
          </w:p>
        </w:tc>
      </w:tr>
      <w:tr w:rsidR="007C4CDC" w:rsidTr="00AA11D0">
        <w:trPr>
          <w:cantSplit/>
        </w:trPr>
        <w:tc>
          <w:tcPr>
            <w:tcW w:w="1488" w:type="dxa"/>
            <w:vMerge/>
            <w:tcBorders>
              <w:bottom w:val="nil"/>
            </w:tcBorders>
          </w:tcPr>
          <w:p w:rsidR="007C4CDC" w:rsidRDefault="007C4CDC" w:rsidP="00AA11D0">
            <w:pPr>
              <w:jc w:val="center"/>
              <w:rPr>
                <w:sz w:val="20"/>
              </w:rPr>
            </w:pPr>
          </w:p>
        </w:tc>
        <w:tc>
          <w:tcPr>
            <w:tcW w:w="1488" w:type="dxa"/>
            <w:vMerge/>
            <w:tcBorders>
              <w:bottom w:val="nil"/>
            </w:tcBorders>
          </w:tcPr>
          <w:p w:rsidR="007C4CDC" w:rsidRDefault="007C4CDC" w:rsidP="00AA11D0">
            <w:pPr>
              <w:jc w:val="center"/>
              <w:rPr>
                <w:sz w:val="20"/>
              </w:rPr>
            </w:pPr>
          </w:p>
        </w:tc>
        <w:tc>
          <w:tcPr>
            <w:tcW w:w="1489" w:type="dxa"/>
            <w:tcBorders>
              <w:bottom w:val="nil"/>
            </w:tcBorders>
            <w:vAlign w:val="center"/>
          </w:tcPr>
          <w:p w:rsidR="007C4CDC" w:rsidRDefault="007C4CDC" w:rsidP="00AA11D0">
            <w:pPr>
              <w:jc w:val="center"/>
              <w:rPr>
                <w:sz w:val="20"/>
              </w:rPr>
            </w:pPr>
            <w:r>
              <w:rPr>
                <w:sz w:val="20"/>
              </w:rPr>
              <w:t xml:space="preserve">40 </w:t>
            </w:r>
            <w:proofErr w:type="spellStart"/>
            <w:r>
              <w:rPr>
                <w:sz w:val="20"/>
              </w:rPr>
              <w:t>kN</w:t>
            </w:r>
            <w:proofErr w:type="spellEnd"/>
          </w:p>
        </w:tc>
        <w:tc>
          <w:tcPr>
            <w:tcW w:w="1488" w:type="dxa"/>
            <w:tcBorders>
              <w:bottom w:val="nil"/>
            </w:tcBorders>
            <w:vAlign w:val="center"/>
          </w:tcPr>
          <w:p w:rsidR="007C4CDC" w:rsidRDefault="007C4CDC" w:rsidP="00AA11D0">
            <w:pPr>
              <w:jc w:val="center"/>
              <w:rPr>
                <w:sz w:val="20"/>
              </w:rPr>
            </w:pPr>
            <w:r>
              <w:rPr>
                <w:sz w:val="20"/>
              </w:rPr>
              <w:t>50kN</w:t>
            </w:r>
          </w:p>
        </w:tc>
        <w:tc>
          <w:tcPr>
            <w:tcW w:w="1488" w:type="dxa"/>
            <w:tcBorders>
              <w:bottom w:val="nil"/>
            </w:tcBorders>
          </w:tcPr>
          <w:p w:rsidR="007C4CDC" w:rsidRDefault="007C4CDC" w:rsidP="00AA11D0">
            <w:pPr>
              <w:jc w:val="center"/>
              <w:rPr>
                <w:sz w:val="20"/>
              </w:rPr>
            </w:pPr>
            <w:r>
              <w:rPr>
                <w:sz w:val="20"/>
              </w:rPr>
              <w:t>od pierwszego obciążenia E1</w:t>
            </w:r>
          </w:p>
        </w:tc>
        <w:tc>
          <w:tcPr>
            <w:tcW w:w="1489" w:type="dxa"/>
            <w:tcBorders>
              <w:bottom w:val="nil"/>
            </w:tcBorders>
          </w:tcPr>
          <w:p w:rsidR="007C4CDC" w:rsidRDefault="007C4CDC" w:rsidP="00AA11D0">
            <w:pPr>
              <w:jc w:val="center"/>
              <w:rPr>
                <w:sz w:val="20"/>
              </w:rPr>
            </w:pPr>
            <w:r>
              <w:rPr>
                <w:sz w:val="20"/>
              </w:rPr>
              <w:t>od drugiego obciążenia E2</w:t>
            </w:r>
          </w:p>
        </w:tc>
      </w:tr>
      <w:tr w:rsidR="007C4CDC" w:rsidTr="00AA11D0">
        <w:tc>
          <w:tcPr>
            <w:tcW w:w="1488" w:type="dxa"/>
            <w:tcBorders>
              <w:top w:val="single" w:sz="4" w:space="0" w:color="auto"/>
              <w:left w:val="single" w:sz="4" w:space="0" w:color="auto"/>
              <w:bottom w:val="single" w:sz="4" w:space="0" w:color="auto"/>
            </w:tcBorders>
          </w:tcPr>
          <w:p w:rsidR="007C4CDC" w:rsidRDefault="007C4CDC" w:rsidP="00AA11D0">
            <w:pPr>
              <w:jc w:val="center"/>
              <w:rPr>
                <w:sz w:val="20"/>
              </w:rPr>
            </w:pPr>
            <w:r>
              <w:rPr>
                <w:sz w:val="20"/>
              </w:rPr>
              <w:t>120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1,03</w:t>
            </w:r>
          </w:p>
        </w:tc>
        <w:tc>
          <w:tcPr>
            <w:tcW w:w="1489" w:type="dxa"/>
            <w:tcBorders>
              <w:top w:val="single" w:sz="4" w:space="0" w:color="auto"/>
              <w:bottom w:val="single" w:sz="4" w:space="0" w:color="auto"/>
            </w:tcBorders>
          </w:tcPr>
          <w:p w:rsidR="007C4CDC" w:rsidRDefault="007C4CDC" w:rsidP="00AA11D0">
            <w:pPr>
              <w:jc w:val="center"/>
              <w:rPr>
                <w:sz w:val="20"/>
              </w:rPr>
            </w:pPr>
            <w:r>
              <w:rPr>
                <w:sz w:val="20"/>
              </w:rPr>
              <w:t>1,10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1,20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100</w:t>
            </w:r>
          </w:p>
        </w:tc>
        <w:tc>
          <w:tcPr>
            <w:tcW w:w="1489" w:type="dxa"/>
            <w:tcBorders>
              <w:top w:val="single" w:sz="4" w:space="0" w:color="auto"/>
              <w:bottom w:val="single" w:sz="4" w:space="0" w:color="auto"/>
              <w:right w:val="single" w:sz="4" w:space="0" w:color="auto"/>
            </w:tcBorders>
          </w:tcPr>
          <w:p w:rsidR="007C4CDC" w:rsidRDefault="007C4CDC" w:rsidP="00AA11D0">
            <w:pPr>
              <w:jc w:val="center"/>
              <w:rPr>
                <w:sz w:val="20"/>
              </w:rPr>
            </w:pPr>
            <w:r>
              <w:rPr>
                <w:sz w:val="20"/>
              </w:rPr>
              <w:t>180</w:t>
            </w:r>
          </w:p>
        </w:tc>
      </w:tr>
    </w:tbl>
    <w:p w:rsidR="007C4CDC" w:rsidRDefault="007C4CDC" w:rsidP="007C4CDC">
      <w:pPr>
        <w:rPr>
          <w:sz w:val="20"/>
        </w:rPr>
      </w:pPr>
    </w:p>
    <w:p w:rsidR="007C4CDC" w:rsidRDefault="007C4CDC" w:rsidP="007C4CDC">
      <w:pPr>
        <w:pStyle w:val="Nagwek2"/>
      </w:pPr>
      <w:r>
        <w:t xml:space="preserve">6.5. Zasady postępowania z wadliwie wykonanymi odcinkami podbudowy </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6.5.1. Niewłaściwe cechy geometryczne podbudowy</w:t>
      </w:r>
    </w:p>
    <w:p w:rsidR="007C4CDC" w:rsidRDefault="007C4CDC" w:rsidP="007C4CDC">
      <w:pPr>
        <w:pStyle w:val="Tekstpodstawowywcity3"/>
        <w:ind w:left="0"/>
        <w:rPr>
          <w:sz w:val="20"/>
          <w:szCs w:val="24"/>
        </w:rPr>
      </w:pPr>
      <w:r>
        <w:rPr>
          <w:sz w:val="20"/>
          <w:szCs w:val="24"/>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7C4CDC" w:rsidRDefault="007C4CDC" w:rsidP="007C4CDC">
      <w:pPr>
        <w:rPr>
          <w:sz w:val="20"/>
        </w:rPr>
      </w:pPr>
      <w:r>
        <w:rPr>
          <w:sz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6.5.2. Niewłaściwa grubość podbudowy</w:t>
      </w:r>
    </w:p>
    <w:p w:rsidR="007C4CDC" w:rsidRDefault="007C4CDC" w:rsidP="007C4CDC">
      <w:pPr>
        <w:pStyle w:val="Tekstpodstawowywcity3"/>
        <w:ind w:left="0"/>
        <w:rPr>
          <w:sz w:val="20"/>
          <w:szCs w:val="24"/>
        </w:rPr>
      </w:pPr>
      <w:r>
        <w:rPr>
          <w:sz w:val="20"/>
          <w:szCs w:val="24"/>
        </w:rPr>
        <w:t>Na wszystkich powierzchniach wadliwych pod względem grubości, Wykonawca wykona naprawę podbudowy. Powierzchnie powinny być naprawione przez spulchnienie lub wybranie warstwy na odpowiednią głębokość, zgodnie z decyzją Inżyniera/Kierownika Projektu, uzupełnione nowym materiałem o odpowiednich właściwościach, wyrównane i ponownie zagęszczone.</w:t>
      </w:r>
    </w:p>
    <w:p w:rsidR="007C4CDC" w:rsidRDefault="007C4CDC" w:rsidP="007C4CDC">
      <w:pPr>
        <w:rPr>
          <w:sz w:val="20"/>
        </w:rPr>
      </w:pPr>
      <w:r>
        <w:rPr>
          <w:sz w:val="20"/>
        </w:rPr>
        <w:t>Roboty te Wykonawca wykona na własny koszt. Po wykonaniu tych Robót nastąpi ponowny pomiar i ocena grubości warstwy, według wyżej podanych zasad, na koszt Wykonawcy.</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6.5.3. Niewłaściwa nośność podbudowy</w:t>
      </w:r>
    </w:p>
    <w:p w:rsidR="007C4CDC" w:rsidRDefault="007C4CDC" w:rsidP="007C4CDC">
      <w:pPr>
        <w:pStyle w:val="Tekstpodstawowywcity3"/>
        <w:rPr>
          <w:sz w:val="20"/>
          <w:szCs w:val="24"/>
        </w:rPr>
      </w:pPr>
      <w:r>
        <w:rPr>
          <w:sz w:val="20"/>
          <w:szCs w:val="24"/>
        </w:rPr>
        <w:t>Jeżeli nośność podbudowy będzie mniejsza od wymaganej, to Wykonawca wykona wszelkie Roboty niezbędne do zapewnienia wymaganej nośności, zalecone przez Inżyniera/Kierownika Projektu.</w:t>
      </w:r>
    </w:p>
    <w:p w:rsidR="007C4CDC" w:rsidRDefault="007C4CDC" w:rsidP="007C4CDC">
      <w:pPr>
        <w:pStyle w:val="Tekstpodstawowywcity3"/>
        <w:rPr>
          <w:sz w:val="20"/>
          <w:szCs w:val="24"/>
        </w:rPr>
      </w:pPr>
      <w:r>
        <w:rPr>
          <w:sz w:val="20"/>
          <w:szCs w:val="24"/>
        </w:rPr>
        <w:t>Koszty tych dodatkowych Robót poniesie Wykonawca podbudowy tylko wtedy, gdy zaniżenie nośności podbudowy wynikło z niewłaściwego wykonania Robót przez Wykonawcę podbudowy.</w:t>
      </w:r>
    </w:p>
    <w:p w:rsidR="007C4CDC" w:rsidRDefault="007C4CDC" w:rsidP="007C4CDC">
      <w:pPr>
        <w:ind w:firstLine="709"/>
        <w:rPr>
          <w:sz w:val="20"/>
        </w:rPr>
      </w:pPr>
    </w:p>
    <w:p w:rsidR="007C4CDC" w:rsidRDefault="007C4CDC" w:rsidP="007C4CDC">
      <w:pPr>
        <w:pStyle w:val="Nagwek1"/>
      </w:pPr>
      <w:r>
        <w:t>7. OBMIAR ROBÓT</w:t>
      </w:r>
    </w:p>
    <w:p w:rsidR="007C4CDC" w:rsidRDefault="007C4CDC" w:rsidP="007C4CDC">
      <w:pPr>
        <w:pStyle w:val="Nagwek2"/>
      </w:pPr>
      <w:r>
        <w:t>7.1. Ogólne zasady obmiaru robót</w:t>
      </w:r>
    </w:p>
    <w:p w:rsidR="007C4CDC" w:rsidRDefault="007C4CDC" w:rsidP="007C4CDC">
      <w:pPr>
        <w:tabs>
          <w:tab w:val="right" w:leader="dot" w:pos="-1985"/>
          <w:tab w:val="left" w:pos="426"/>
          <w:tab w:val="right" w:leader="dot" w:pos="8505"/>
        </w:tabs>
        <w:jc w:val="both"/>
        <w:rPr>
          <w:sz w:val="20"/>
          <w:szCs w:val="20"/>
        </w:rPr>
      </w:pPr>
      <w:r>
        <w:rPr>
          <w:b/>
          <w:sz w:val="20"/>
          <w:szCs w:val="20"/>
        </w:rPr>
        <w:tab/>
      </w:r>
      <w:r>
        <w:rPr>
          <w:sz w:val="20"/>
          <w:szCs w:val="20"/>
        </w:rPr>
        <w:t>Ogólne zasady obmiaru robót podano w SST D-00.00.00 „Wymagania ogólne” pkt 7.</w:t>
      </w:r>
    </w:p>
    <w:p w:rsidR="007C4CDC" w:rsidRDefault="007C4CDC" w:rsidP="007C4CDC">
      <w:pPr>
        <w:pStyle w:val="Nagwek2"/>
      </w:pPr>
      <w:r>
        <w:lastRenderedPageBreak/>
        <w:t>7.2. Jednostka obmiarowa</w:t>
      </w:r>
    </w:p>
    <w:p w:rsidR="007C4CDC" w:rsidRDefault="007C4CDC" w:rsidP="007C4CDC">
      <w:pPr>
        <w:ind w:right="-11" w:firstLine="708"/>
        <w:jc w:val="both"/>
        <w:rPr>
          <w:sz w:val="20"/>
          <w:szCs w:val="20"/>
        </w:rPr>
      </w:pPr>
      <w:r>
        <w:rPr>
          <w:sz w:val="20"/>
          <w:szCs w:val="20"/>
        </w:rPr>
        <w:t>Jednostką obmiarową jest  m</w:t>
      </w:r>
      <w:r>
        <w:rPr>
          <w:sz w:val="20"/>
          <w:szCs w:val="20"/>
          <w:vertAlign w:val="superscript"/>
        </w:rPr>
        <w:t>2</w:t>
      </w:r>
      <w:r>
        <w:rPr>
          <w:sz w:val="20"/>
          <w:szCs w:val="20"/>
        </w:rPr>
        <w:t xml:space="preserve"> (metr kwadratowy) podbudowy z kruszywa łamanego stabilizowanego mechanicznie.</w:t>
      </w:r>
    </w:p>
    <w:p w:rsidR="007C4CDC" w:rsidRDefault="007C4CDC" w:rsidP="007C4CDC">
      <w:pPr>
        <w:pStyle w:val="Nagwek1"/>
      </w:pPr>
      <w:r>
        <w:t>8. ODBIÓR ROBÓT</w:t>
      </w:r>
    </w:p>
    <w:p w:rsidR="007C4CDC" w:rsidRDefault="007C4CDC" w:rsidP="007C4CDC">
      <w:pPr>
        <w:pStyle w:val="Nagwek2"/>
      </w:pPr>
      <w:r>
        <w:t>8.1. Ogólne zasady odbioru robót</w:t>
      </w:r>
    </w:p>
    <w:p w:rsidR="007C4CDC" w:rsidRDefault="007C4CDC" w:rsidP="007C4CDC">
      <w:pPr>
        <w:pStyle w:val="Nagwek2"/>
        <w:spacing w:before="0" w:after="0"/>
        <w:rPr>
          <w:b w:val="0"/>
        </w:rPr>
      </w:pPr>
      <w:r>
        <w:tab/>
      </w:r>
      <w:r>
        <w:rPr>
          <w:b w:val="0"/>
        </w:rPr>
        <w:t>Ogólne zasady odbioru Robót podano w SST D-00.00.00 "Wymagania ogólne" pkt 8.</w:t>
      </w:r>
    </w:p>
    <w:p w:rsidR="007C4CDC" w:rsidRDefault="007C4CDC" w:rsidP="007C4CDC">
      <w:pPr>
        <w:pStyle w:val="Nagwek2"/>
        <w:spacing w:before="0" w:after="0"/>
      </w:pPr>
      <w:r>
        <w:t>8.2. Odbiór Robót zanikających i ulegających zakryciu</w:t>
      </w:r>
    </w:p>
    <w:p w:rsidR="007C4CDC" w:rsidRDefault="007C4CDC" w:rsidP="007C4CDC">
      <w:pPr>
        <w:pStyle w:val="Tekstpodstawowywcity3"/>
        <w:rPr>
          <w:sz w:val="20"/>
          <w:szCs w:val="20"/>
        </w:rPr>
      </w:pPr>
      <w:r>
        <w:rPr>
          <w:sz w:val="20"/>
          <w:szCs w:val="20"/>
        </w:rPr>
        <w:t>Odbiór podbudowy z kruszywa łamanego stabilizowanego mechanicznie jest dokonywany na zasadach odbioru Robót zanikających i ulegających zakryciu. Roboty uznaje się za zgodne z dokumentacją projektową, SST i wymaganiami Inżyniera/Kierownika Projektu, jeżeli wszystkie pomiary i badania z zachowaniem tolerancji wg pkt 6 dały wyniki pozytywne.</w:t>
      </w:r>
    </w:p>
    <w:p w:rsidR="007C4CDC" w:rsidRDefault="007C4CDC" w:rsidP="007C4CDC">
      <w:pPr>
        <w:pStyle w:val="Nagwek2"/>
        <w:spacing w:before="0" w:after="0"/>
      </w:pPr>
      <w:r>
        <w:t>8.3. Zasady postępowania w przypadku wystąpienia wad i usterek</w:t>
      </w:r>
    </w:p>
    <w:p w:rsidR="007C4CDC" w:rsidRDefault="007C4CDC" w:rsidP="007C4CDC">
      <w:pPr>
        <w:pStyle w:val="Tekstpodstawowywcity3"/>
        <w:rPr>
          <w:sz w:val="20"/>
          <w:szCs w:val="20"/>
        </w:rPr>
      </w:pPr>
      <w:r>
        <w:rPr>
          <w:sz w:val="20"/>
          <w:szCs w:val="20"/>
        </w:rPr>
        <w:t xml:space="preserve">W przypadku wystąpienia wad lub usterek Wykonawca robót powinien usunąć je w terminie zaakceptowanym przez Inżyniera/Kierownika Projektu tak aby nie wstrzymywać postępu prac. </w:t>
      </w:r>
    </w:p>
    <w:p w:rsidR="007C4CDC" w:rsidRDefault="007C4CDC" w:rsidP="007C4CDC">
      <w:pPr>
        <w:pStyle w:val="Nagwek1"/>
      </w:pPr>
      <w:r>
        <w:t>9. PODSTAWA PŁATNOŚCI</w:t>
      </w:r>
    </w:p>
    <w:p w:rsidR="007C4CDC" w:rsidRDefault="007C4CDC" w:rsidP="007C4CDC">
      <w:pPr>
        <w:pStyle w:val="Nagwek2"/>
      </w:pPr>
      <w:r>
        <w:t>9.1. Ogólne ustalenia dotyczące podstawy płatności</w:t>
      </w:r>
    </w:p>
    <w:p w:rsidR="007C4CDC" w:rsidRDefault="007C4CDC" w:rsidP="007C4CDC">
      <w:pPr>
        <w:tabs>
          <w:tab w:val="right" w:leader="dot" w:pos="-1985"/>
          <w:tab w:val="left" w:pos="426"/>
          <w:tab w:val="right" w:leader="dot" w:pos="8505"/>
        </w:tabs>
        <w:jc w:val="both"/>
        <w:rPr>
          <w:sz w:val="20"/>
          <w:szCs w:val="20"/>
        </w:rPr>
      </w:pPr>
      <w:r>
        <w:rPr>
          <w:b/>
          <w:sz w:val="20"/>
          <w:szCs w:val="20"/>
        </w:rPr>
        <w:tab/>
      </w:r>
      <w:r>
        <w:rPr>
          <w:sz w:val="20"/>
          <w:szCs w:val="20"/>
        </w:rPr>
        <w:t>Ogólne ustalenia dotyczące podstawy płatności podano w SST D-00.00.00 „Wymagania ogólne” pkt 9.</w:t>
      </w:r>
    </w:p>
    <w:p w:rsidR="007C4CDC" w:rsidRDefault="007C4CDC" w:rsidP="007C4CDC">
      <w:pPr>
        <w:pStyle w:val="Nagwek2"/>
      </w:pPr>
      <w:r>
        <w:t>9.2. Cena jednostki obmiarowej</w:t>
      </w:r>
    </w:p>
    <w:p w:rsidR="007C4CDC" w:rsidRDefault="007C4CDC" w:rsidP="007C4CDC">
      <w:pPr>
        <w:tabs>
          <w:tab w:val="left" w:pos="0"/>
          <w:tab w:val="right" w:pos="8953"/>
        </w:tabs>
        <w:rPr>
          <w:sz w:val="20"/>
          <w:szCs w:val="20"/>
        </w:rPr>
      </w:pPr>
      <w:r>
        <w:rPr>
          <w:sz w:val="20"/>
          <w:szCs w:val="20"/>
        </w:rPr>
        <w:t>Cena wykonania 1 m2 podbudowy (z rozdziałem na grubość warstwy) obejmuje:</w:t>
      </w:r>
    </w:p>
    <w:p w:rsidR="007C4CDC" w:rsidRDefault="007C4CDC" w:rsidP="007C4CDC">
      <w:pPr>
        <w:numPr>
          <w:ilvl w:val="0"/>
          <w:numId w:val="1"/>
        </w:numPr>
        <w:tabs>
          <w:tab w:val="left" w:pos="0"/>
          <w:tab w:val="right" w:pos="8953"/>
        </w:tabs>
        <w:jc w:val="both"/>
        <w:rPr>
          <w:sz w:val="20"/>
          <w:szCs w:val="20"/>
        </w:rPr>
      </w:pPr>
      <w:r>
        <w:rPr>
          <w:sz w:val="20"/>
          <w:szCs w:val="20"/>
        </w:rPr>
        <w:t>prace pomiarowe i Roboty przygotowawcze,</w:t>
      </w:r>
    </w:p>
    <w:p w:rsidR="007C4CDC" w:rsidRDefault="007C4CDC" w:rsidP="007C4CDC">
      <w:pPr>
        <w:numPr>
          <w:ilvl w:val="0"/>
          <w:numId w:val="1"/>
        </w:numPr>
        <w:tabs>
          <w:tab w:val="left" w:pos="0"/>
          <w:tab w:val="right" w:pos="8953"/>
        </w:tabs>
        <w:jc w:val="both"/>
        <w:rPr>
          <w:sz w:val="20"/>
          <w:szCs w:val="20"/>
        </w:rPr>
      </w:pPr>
      <w:r>
        <w:rPr>
          <w:sz w:val="20"/>
          <w:szCs w:val="20"/>
        </w:rPr>
        <w:t>oznakowanie Robót,</w:t>
      </w:r>
    </w:p>
    <w:p w:rsidR="007C4CDC" w:rsidRDefault="007C4CDC" w:rsidP="007C4CDC">
      <w:pPr>
        <w:numPr>
          <w:ilvl w:val="0"/>
          <w:numId w:val="1"/>
        </w:numPr>
        <w:tabs>
          <w:tab w:val="left" w:pos="0"/>
          <w:tab w:val="right" w:pos="8953"/>
        </w:tabs>
        <w:jc w:val="both"/>
        <w:rPr>
          <w:sz w:val="20"/>
          <w:szCs w:val="20"/>
        </w:rPr>
      </w:pPr>
      <w:r>
        <w:rPr>
          <w:sz w:val="20"/>
          <w:szCs w:val="20"/>
        </w:rPr>
        <w:t>sprawdzenie i ewentualną naprawę podłoża,</w:t>
      </w:r>
    </w:p>
    <w:p w:rsidR="007C4CDC" w:rsidRDefault="007C4CDC" w:rsidP="007C4CDC">
      <w:pPr>
        <w:numPr>
          <w:ilvl w:val="0"/>
          <w:numId w:val="1"/>
        </w:numPr>
        <w:tabs>
          <w:tab w:val="left" w:pos="0"/>
          <w:tab w:val="right" w:pos="8953"/>
        </w:tabs>
        <w:jc w:val="both"/>
        <w:rPr>
          <w:sz w:val="20"/>
          <w:szCs w:val="20"/>
        </w:rPr>
      </w:pPr>
      <w:r>
        <w:rPr>
          <w:sz w:val="20"/>
          <w:szCs w:val="20"/>
        </w:rPr>
        <w:t>przygotowanie mieszanki z kruszywa, zgodnie z receptą,</w:t>
      </w:r>
    </w:p>
    <w:p w:rsidR="007C4CDC" w:rsidRDefault="007C4CDC" w:rsidP="007C4CDC">
      <w:pPr>
        <w:numPr>
          <w:ilvl w:val="0"/>
          <w:numId w:val="1"/>
        </w:numPr>
        <w:tabs>
          <w:tab w:val="left" w:pos="0"/>
          <w:tab w:val="right" w:pos="8953"/>
        </w:tabs>
        <w:jc w:val="both"/>
        <w:rPr>
          <w:sz w:val="20"/>
          <w:szCs w:val="20"/>
        </w:rPr>
      </w:pPr>
      <w:r>
        <w:rPr>
          <w:sz w:val="20"/>
          <w:szCs w:val="20"/>
        </w:rPr>
        <w:t>dostarczenie mieszanki na miejsce wbudowania,</w:t>
      </w:r>
    </w:p>
    <w:p w:rsidR="007C4CDC" w:rsidRDefault="007C4CDC" w:rsidP="007C4CDC">
      <w:pPr>
        <w:numPr>
          <w:ilvl w:val="0"/>
          <w:numId w:val="1"/>
        </w:numPr>
        <w:tabs>
          <w:tab w:val="left" w:pos="0"/>
          <w:tab w:val="right" w:pos="8953"/>
        </w:tabs>
        <w:jc w:val="both"/>
        <w:rPr>
          <w:sz w:val="20"/>
          <w:szCs w:val="20"/>
        </w:rPr>
      </w:pPr>
      <w:r>
        <w:rPr>
          <w:sz w:val="20"/>
          <w:szCs w:val="20"/>
        </w:rPr>
        <w:t>rozłożenie mieszanki,</w:t>
      </w:r>
    </w:p>
    <w:p w:rsidR="007C4CDC" w:rsidRDefault="007C4CDC" w:rsidP="007C4CDC">
      <w:pPr>
        <w:numPr>
          <w:ilvl w:val="0"/>
          <w:numId w:val="1"/>
        </w:numPr>
        <w:tabs>
          <w:tab w:val="left" w:pos="0"/>
          <w:tab w:val="right" w:pos="8953"/>
        </w:tabs>
        <w:jc w:val="both"/>
        <w:rPr>
          <w:sz w:val="20"/>
          <w:szCs w:val="20"/>
        </w:rPr>
      </w:pPr>
      <w:r>
        <w:rPr>
          <w:sz w:val="20"/>
          <w:szCs w:val="20"/>
        </w:rPr>
        <w:t>zagęszczenie rozłożonej mieszanki,</w:t>
      </w:r>
    </w:p>
    <w:p w:rsidR="007C4CDC" w:rsidRDefault="007C4CDC" w:rsidP="007C4CDC">
      <w:pPr>
        <w:numPr>
          <w:ilvl w:val="0"/>
          <w:numId w:val="1"/>
        </w:numPr>
        <w:tabs>
          <w:tab w:val="left" w:pos="0"/>
          <w:tab w:val="right" w:pos="8953"/>
        </w:tabs>
        <w:jc w:val="both"/>
        <w:rPr>
          <w:sz w:val="20"/>
          <w:szCs w:val="20"/>
        </w:rPr>
      </w:pPr>
      <w:r>
        <w:rPr>
          <w:sz w:val="20"/>
          <w:szCs w:val="20"/>
        </w:rPr>
        <w:t>przeprowadzenie pomiarów i badań laboratoryjnych określonych w SST,</w:t>
      </w:r>
    </w:p>
    <w:p w:rsidR="007C4CDC" w:rsidRDefault="007C4CDC" w:rsidP="007C4CDC">
      <w:pPr>
        <w:numPr>
          <w:ilvl w:val="0"/>
          <w:numId w:val="1"/>
        </w:numPr>
        <w:tabs>
          <w:tab w:val="left" w:pos="0"/>
          <w:tab w:val="right" w:pos="8953"/>
        </w:tabs>
        <w:jc w:val="both"/>
        <w:rPr>
          <w:sz w:val="20"/>
          <w:szCs w:val="20"/>
        </w:rPr>
      </w:pPr>
      <w:r>
        <w:rPr>
          <w:sz w:val="20"/>
          <w:szCs w:val="20"/>
        </w:rPr>
        <w:t>utrzymanie podbudowy w czasie Robót.</w:t>
      </w:r>
    </w:p>
    <w:p w:rsidR="007C4CDC" w:rsidRDefault="007C4CDC" w:rsidP="00FC4B14">
      <w:pPr>
        <w:tabs>
          <w:tab w:val="right" w:leader="dot" w:pos="-1985"/>
          <w:tab w:val="left" w:pos="426"/>
          <w:tab w:val="right" w:leader="dot" w:pos="8505"/>
        </w:tabs>
        <w:overflowPunct w:val="0"/>
        <w:autoSpaceDE w:val="0"/>
        <w:autoSpaceDN w:val="0"/>
        <w:adjustRightInd w:val="0"/>
        <w:ind w:left="283"/>
        <w:jc w:val="both"/>
        <w:textAlignment w:val="baseline"/>
        <w:rPr>
          <w:sz w:val="20"/>
          <w:szCs w:val="20"/>
        </w:rPr>
      </w:pPr>
    </w:p>
    <w:p w:rsidR="007C4CDC" w:rsidRDefault="007C4CDC" w:rsidP="007C4CDC">
      <w:pPr>
        <w:pStyle w:val="Nagwek1"/>
      </w:pPr>
      <w:r>
        <w:t>10. przepisy związane</w:t>
      </w:r>
    </w:p>
    <w:p w:rsidR="007C4CDC" w:rsidRDefault="007C4CDC" w:rsidP="007C4CDC">
      <w:pPr>
        <w:numPr>
          <w:ilvl w:val="0"/>
          <w:numId w:val="1"/>
        </w:numPr>
        <w:tabs>
          <w:tab w:val="left" w:pos="0"/>
          <w:tab w:val="right" w:pos="8953"/>
        </w:tabs>
        <w:jc w:val="both"/>
        <w:rPr>
          <w:sz w:val="20"/>
          <w:szCs w:val="20"/>
        </w:rPr>
      </w:pPr>
      <w:r>
        <w:rPr>
          <w:sz w:val="20"/>
          <w:szCs w:val="20"/>
        </w:rPr>
        <w:t>Normy</w:t>
      </w:r>
    </w:p>
    <w:p w:rsidR="007C4CDC" w:rsidRDefault="007C4CDC" w:rsidP="007C4CDC">
      <w:pPr>
        <w:numPr>
          <w:ilvl w:val="0"/>
          <w:numId w:val="1"/>
        </w:numPr>
        <w:tabs>
          <w:tab w:val="left" w:pos="0"/>
          <w:tab w:val="right" w:pos="8953"/>
        </w:tabs>
        <w:jc w:val="both"/>
        <w:rPr>
          <w:sz w:val="20"/>
          <w:szCs w:val="20"/>
        </w:rPr>
      </w:pPr>
      <w:r>
        <w:rPr>
          <w:sz w:val="20"/>
          <w:szCs w:val="20"/>
        </w:rPr>
        <w:t>10.1 PN-B-04481 Grunty budowlane. Badania próbek gruntu</w:t>
      </w:r>
    </w:p>
    <w:p w:rsidR="007C4CDC" w:rsidRDefault="007C4CDC" w:rsidP="007C4CDC">
      <w:pPr>
        <w:numPr>
          <w:ilvl w:val="0"/>
          <w:numId w:val="1"/>
        </w:numPr>
        <w:tabs>
          <w:tab w:val="left" w:pos="0"/>
          <w:tab w:val="right" w:pos="8953"/>
        </w:tabs>
        <w:jc w:val="both"/>
        <w:rPr>
          <w:sz w:val="20"/>
          <w:szCs w:val="20"/>
        </w:rPr>
      </w:pPr>
      <w:r>
        <w:rPr>
          <w:sz w:val="20"/>
          <w:szCs w:val="20"/>
        </w:rPr>
        <w:t>10.2 PN-B-06714-12 Kruszywa mineralne. Badania. Oznaczanie zawartości zanieczyszczeń obcych</w:t>
      </w:r>
    </w:p>
    <w:p w:rsidR="007C4CDC" w:rsidRDefault="007C4CDC" w:rsidP="007C4CDC">
      <w:pPr>
        <w:numPr>
          <w:ilvl w:val="0"/>
          <w:numId w:val="1"/>
        </w:numPr>
        <w:tabs>
          <w:tab w:val="left" w:pos="0"/>
          <w:tab w:val="right" w:pos="8953"/>
        </w:tabs>
        <w:jc w:val="both"/>
        <w:rPr>
          <w:sz w:val="20"/>
          <w:szCs w:val="20"/>
        </w:rPr>
      </w:pPr>
      <w:r>
        <w:rPr>
          <w:sz w:val="20"/>
          <w:szCs w:val="20"/>
        </w:rPr>
        <w:t xml:space="preserve">10.3 PN-B-06714-15 Kruszywa mineralne. Badania. Oznaczanie składu ziarnowego </w:t>
      </w:r>
    </w:p>
    <w:p w:rsidR="007C4CDC" w:rsidRDefault="007C4CDC" w:rsidP="007C4CDC">
      <w:pPr>
        <w:numPr>
          <w:ilvl w:val="0"/>
          <w:numId w:val="1"/>
        </w:numPr>
        <w:tabs>
          <w:tab w:val="left" w:pos="0"/>
          <w:tab w:val="right" w:pos="8953"/>
        </w:tabs>
        <w:jc w:val="both"/>
        <w:rPr>
          <w:sz w:val="20"/>
          <w:szCs w:val="20"/>
        </w:rPr>
      </w:pPr>
      <w:r>
        <w:rPr>
          <w:sz w:val="20"/>
          <w:szCs w:val="20"/>
        </w:rPr>
        <w:t xml:space="preserve">10.4 PN-B-06714-16 Kruszywa mineralne. Badania. Oznaczanie kształtu </w:t>
      </w:r>
      <w:proofErr w:type="spellStart"/>
      <w:r>
        <w:rPr>
          <w:sz w:val="20"/>
          <w:szCs w:val="20"/>
        </w:rPr>
        <w:t>ziarn</w:t>
      </w:r>
      <w:proofErr w:type="spellEnd"/>
    </w:p>
    <w:p w:rsidR="007C4CDC" w:rsidRDefault="007C4CDC" w:rsidP="007C4CDC">
      <w:pPr>
        <w:numPr>
          <w:ilvl w:val="0"/>
          <w:numId w:val="1"/>
        </w:numPr>
        <w:tabs>
          <w:tab w:val="left" w:pos="0"/>
          <w:tab w:val="right" w:pos="8953"/>
        </w:tabs>
        <w:jc w:val="both"/>
        <w:rPr>
          <w:sz w:val="20"/>
          <w:szCs w:val="20"/>
        </w:rPr>
      </w:pPr>
      <w:r>
        <w:rPr>
          <w:sz w:val="20"/>
          <w:szCs w:val="20"/>
        </w:rPr>
        <w:t xml:space="preserve">10.5 PN-B-06714-17 Kruszywa mineralne. Badania. Oznaczanie wilgotności </w:t>
      </w:r>
    </w:p>
    <w:p w:rsidR="007C4CDC" w:rsidRDefault="007C4CDC" w:rsidP="007C4CDC">
      <w:pPr>
        <w:numPr>
          <w:ilvl w:val="0"/>
          <w:numId w:val="1"/>
        </w:numPr>
        <w:tabs>
          <w:tab w:val="left" w:pos="0"/>
          <w:tab w:val="right" w:pos="8953"/>
        </w:tabs>
        <w:jc w:val="both"/>
        <w:rPr>
          <w:sz w:val="20"/>
          <w:szCs w:val="20"/>
        </w:rPr>
      </w:pPr>
      <w:r>
        <w:rPr>
          <w:sz w:val="20"/>
          <w:szCs w:val="20"/>
        </w:rPr>
        <w:t>10.6 PN-B-06714-18 Kruszywa mineralne. Badania. Oznaczanie nasiąkliwości</w:t>
      </w:r>
    </w:p>
    <w:p w:rsidR="007C4CDC" w:rsidRDefault="007C4CDC" w:rsidP="007C4CDC">
      <w:pPr>
        <w:numPr>
          <w:ilvl w:val="0"/>
          <w:numId w:val="1"/>
        </w:numPr>
        <w:tabs>
          <w:tab w:val="left" w:pos="0"/>
          <w:tab w:val="right" w:pos="8953"/>
        </w:tabs>
        <w:jc w:val="both"/>
        <w:rPr>
          <w:sz w:val="20"/>
          <w:szCs w:val="20"/>
        </w:rPr>
      </w:pPr>
      <w:r>
        <w:rPr>
          <w:sz w:val="20"/>
          <w:szCs w:val="20"/>
        </w:rPr>
        <w:t>10.7 PN-B-06714-19 Kruszywa mineralne. Badania. Oznaczanie mrozoodporności metodą bezpośrednią</w:t>
      </w:r>
    </w:p>
    <w:p w:rsidR="007C4CDC" w:rsidRDefault="007C4CDC" w:rsidP="007C4CDC">
      <w:pPr>
        <w:numPr>
          <w:ilvl w:val="0"/>
          <w:numId w:val="1"/>
        </w:numPr>
        <w:tabs>
          <w:tab w:val="left" w:pos="0"/>
          <w:tab w:val="right" w:pos="8953"/>
        </w:tabs>
        <w:jc w:val="both"/>
        <w:rPr>
          <w:sz w:val="20"/>
          <w:szCs w:val="20"/>
        </w:rPr>
      </w:pPr>
      <w:r>
        <w:rPr>
          <w:sz w:val="20"/>
          <w:szCs w:val="20"/>
        </w:rPr>
        <w:t>10.8 PN-B-06714-26 Kruszywa mineralne. Badania. Oznaczanie zawartości zanieczyszczeń organicznych</w:t>
      </w:r>
    </w:p>
    <w:p w:rsidR="007C4CDC" w:rsidRDefault="007C4CDC" w:rsidP="007C4CDC">
      <w:pPr>
        <w:numPr>
          <w:ilvl w:val="0"/>
          <w:numId w:val="1"/>
        </w:numPr>
        <w:tabs>
          <w:tab w:val="left" w:pos="0"/>
          <w:tab w:val="right" w:pos="8953"/>
        </w:tabs>
        <w:jc w:val="both"/>
        <w:rPr>
          <w:sz w:val="20"/>
          <w:szCs w:val="20"/>
        </w:rPr>
      </w:pPr>
      <w:r>
        <w:rPr>
          <w:sz w:val="20"/>
          <w:szCs w:val="20"/>
        </w:rPr>
        <w:t>10.9 PN-B-06714-28 Kruszywa mineralne. Badania. Oznaczanie zawartości siarki metodą bromową</w:t>
      </w:r>
    </w:p>
    <w:p w:rsidR="007C4CDC" w:rsidRDefault="007C4CDC" w:rsidP="007C4CDC">
      <w:pPr>
        <w:numPr>
          <w:ilvl w:val="0"/>
          <w:numId w:val="1"/>
        </w:numPr>
        <w:tabs>
          <w:tab w:val="left" w:pos="0"/>
          <w:tab w:val="right" w:pos="8953"/>
        </w:tabs>
        <w:jc w:val="both"/>
        <w:rPr>
          <w:sz w:val="20"/>
          <w:szCs w:val="20"/>
        </w:rPr>
      </w:pPr>
      <w:r>
        <w:rPr>
          <w:sz w:val="20"/>
          <w:szCs w:val="20"/>
        </w:rPr>
        <w:t>10.10 PN-B-06714-37 Kruszywa mineralne. Badania. Oznaczanie rozpadu krzemianowego</w:t>
      </w:r>
    </w:p>
    <w:p w:rsidR="007C4CDC" w:rsidRDefault="007C4CDC" w:rsidP="007C4CDC">
      <w:pPr>
        <w:numPr>
          <w:ilvl w:val="0"/>
          <w:numId w:val="1"/>
        </w:numPr>
        <w:tabs>
          <w:tab w:val="left" w:pos="0"/>
          <w:tab w:val="right" w:pos="8953"/>
        </w:tabs>
        <w:jc w:val="both"/>
        <w:rPr>
          <w:sz w:val="20"/>
          <w:szCs w:val="20"/>
        </w:rPr>
      </w:pPr>
      <w:r>
        <w:rPr>
          <w:sz w:val="20"/>
          <w:szCs w:val="20"/>
        </w:rPr>
        <w:t>10.11 PN-B-06714-39 Kruszywa mineralne. Badania. Oznaczanie rozpadu żelazawego</w:t>
      </w:r>
    </w:p>
    <w:p w:rsidR="007C4CDC" w:rsidRDefault="007C4CDC" w:rsidP="007C4CDC">
      <w:pPr>
        <w:numPr>
          <w:ilvl w:val="0"/>
          <w:numId w:val="1"/>
        </w:numPr>
        <w:tabs>
          <w:tab w:val="left" w:pos="0"/>
          <w:tab w:val="right" w:pos="8953"/>
        </w:tabs>
        <w:jc w:val="both"/>
        <w:rPr>
          <w:sz w:val="20"/>
          <w:szCs w:val="20"/>
        </w:rPr>
      </w:pPr>
      <w:r>
        <w:rPr>
          <w:sz w:val="20"/>
          <w:szCs w:val="20"/>
        </w:rPr>
        <w:t>10.12 PN-B-06714-42 Kruszywa mineralne. Badania. Oznaczanie ścieralności w bębnie Los Angeles</w:t>
      </w:r>
    </w:p>
    <w:p w:rsidR="007C4CDC" w:rsidRDefault="007C4CDC" w:rsidP="007C4CDC">
      <w:pPr>
        <w:numPr>
          <w:ilvl w:val="0"/>
          <w:numId w:val="1"/>
        </w:numPr>
        <w:tabs>
          <w:tab w:val="left" w:pos="0"/>
          <w:tab w:val="right" w:pos="8953"/>
        </w:tabs>
        <w:jc w:val="both"/>
        <w:rPr>
          <w:sz w:val="20"/>
          <w:szCs w:val="20"/>
        </w:rPr>
      </w:pPr>
      <w:r>
        <w:rPr>
          <w:sz w:val="20"/>
          <w:szCs w:val="20"/>
        </w:rPr>
        <w:t>10.13 PN-B-06731 Żużel wielkopiecowy kawałkowy. Kruszywo budowlane i drogowe. Badania techniczne</w:t>
      </w:r>
    </w:p>
    <w:p w:rsidR="007C4CDC" w:rsidRDefault="007C4CDC" w:rsidP="007C4CDC">
      <w:pPr>
        <w:numPr>
          <w:ilvl w:val="0"/>
          <w:numId w:val="1"/>
        </w:numPr>
        <w:tabs>
          <w:tab w:val="left" w:pos="0"/>
          <w:tab w:val="right" w:pos="8953"/>
        </w:tabs>
        <w:jc w:val="both"/>
        <w:rPr>
          <w:sz w:val="20"/>
          <w:szCs w:val="20"/>
        </w:rPr>
      </w:pPr>
      <w:r>
        <w:rPr>
          <w:sz w:val="20"/>
          <w:szCs w:val="20"/>
        </w:rPr>
        <w:t>10.14 PN-B-11112 Kruszywa mineralne. Kruszywa łamane do nawierzchni drogowych</w:t>
      </w:r>
    </w:p>
    <w:p w:rsidR="007C4CDC" w:rsidRDefault="007C4CDC" w:rsidP="007C4CDC">
      <w:pPr>
        <w:numPr>
          <w:ilvl w:val="0"/>
          <w:numId w:val="1"/>
        </w:numPr>
        <w:tabs>
          <w:tab w:val="left" w:pos="0"/>
          <w:tab w:val="right" w:pos="8953"/>
        </w:tabs>
        <w:jc w:val="both"/>
        <w:rPr>
          <w:sz w:val="20"/>
          <w:szCs w:val="20"/>
        </w:rPr>
      </w:pPr>
      <w:r>
        <w:rPr>
          <w:sz w:val="20"/>
          <w:szCs w:val="20"/>
        </w:rPr>
        <w:t>10.15 PN-B-32250 Materiały budowlane. Woda do betonu i zapraw</w:t>
      </w:r>
    </w:p>
    <w:p w:rsidR="007C4CDC" w:rsidRDefault="007C4CDC" w:rsidP="007C4CDC">
      <w:pPr>
        <w:numPr>
          <w:ilvl w:val="0"/>
          <w:numId w:val="1"/>
        </w:numPr>
        <w:tabs>
          <w:tab w:val="left" w:pos="0"/>
          <w:tab w:val="right" w:pos="8953"/>
        </w:tabs>
        <w:jc w:val="both"/>
        <w:rPr>
          <w:sz w:val="20"/>
          <w:szCs w:val="20"/>
        </w:rPr>
      </w:pPr>
      <w:r>
        <w:rPr>
          <w:sz w:val="20"/>
          <w:szCs w:val="20"/>
        </w:rPr>
        <w:t>10.16 PN-S-06102 Drogi samochodowe. Podbudowy z kruszyw stabilizowanych mechanicznie</w:t>
      </w:r>
    </w:p>
    <w:p w:rsidR="007C4CDC" w:rsidRDefault="007C4CDC" w:rsidP="007C4CDC">
      <w:pPr>
        <w:numPr>
          <w:ilvl w:val="0"/>
          <w:numId w:val="1"/>
        </w:numPr>
        <w:tabs>
          <w:tab w:val="left" w:pos="0"/>
          <w:tab w:val="right" w:pos="8953"/>
        </w:tabs>
        <w:jc w:val="both"/>
        <w:rPr>
          <w:sz w:val="20"/>
          <w:szCs w:val="20"/>
        </w:rPr>
      </w:pPr>
      <w:r>
        <w:rPr>
          <w:sz w:val="20"/>
          <w:szCs w:val="20"/>
        </w:rPr>
        <w:t>10.17 BN-64/8931-01 Drogi samochodowe. Oznaczanie wskaźnika piaskowego</w:t>
      </w:r>
    </w:p>
    <w:p w:rsidR="007C4CDC" w:rsidRDefault="007C4CDC" w:rsidP="007C4CDC">
      <w:pPr>
        <w:numPr>
          <w:ilvl w:val="0"/>
          <w:numId w:val="1"/>
        </w:numPr>
        <w:tabs>
          <w:tab w:val="left" w:pos="0"/>
          <w:tab w:val="right" w:pos="8953"/>
        </w:tabs>
        <w:jc w:val="both"/>
        <w:rPr>
          <w:sz w:val="20"/>
          <w:szCs w:val="20"/>
        </w:rPr>
      </w:pPr>
      <w:r>
        <w:rPr>
          <w:sz w:val="20"/>
          <w:szCs w:val="20"/>
        </w:rPr>
        <w:t xml:space="preserve">10.18 BN-68/8931-04 Drogi samochodowe. Pomiar równości nawierzchni </w:t>
      </w:r>
      <w:proofErr w:type="spellStart"/>
      <w:r>
        <w:rPr>
          <w:sz w:val="20"/>
          <w:szCs w:val="20"/>
        </w:rPr>
        <w:t>planografem</w:t>
      </w:r>
      <w:proofErr w:type="spellEnd"/>
      <w:r>
        <w:rPr>
          <w:sz w:val="20"/>
          <w:szCs w:val="20"/>
        </w:rPr>
        <w:t xml:space="preserve"> i łatą</w:t>
      </w:r>
    </w:p>
    <w:p w:rsidR="007C4CDC" w:rsidRDefault="007C4CDC" w:rsidP="007C4CDC">
      <w:pPr>
        <w:numPr>
          <w:ilvl w:val="0"/>
          <w:numId w:val="1"/>
        </w:numPr>
        <w:tabs>
          <w:tab w:val="left" w:pos="0"/>
          <w:tab w:val="right" w:pos="8953"/>
        </w:tabs>
        <w:jc w:val="both"/>
        <w:rPr>
          <w:sz w:val="20"/>
          <w:szCs w:val="20"/>
        </w:rPr>
      </w:pPr>
      <w:r>
        <w:rPr>
          <w:sz w:val="20"/>
          <w:szCs w:val="20"/>
        </w:rPr>
        <w:t xml:space="preserve">10.19 BN-70/8931-06 Drogi samochodowe. Pomiar ugięć podatnych </w:t>
      </w:r>
      <w:proofErr w:type="spellStart"/>
      <w:r>
        <w:rPr>
          <w:sz w:val="20"/>
          <w:szCs w:val="20"/>
        </w:rPr>
        <w:t>ugięciomierzem</w:t>
      </w:r>
      <w:proofErr w:type="spellEnd"/>
      <w:r>
        <w:rPr>
          <w:sz w:val="20"/>
          <w:szCs w:val="20"/>
        </w:rPr>
        <w:t xml:space="preserve"> belkowym</w:t>
      </w:r>
    </w:p>
    <w:p w:rsidR="007C4CDC" w:rsidRDefault="007C4CDC" w:rsidP="007C4CDC">
      <w:pPr>
        <w:numPr>
          <w:ilvl w:val="0"/>
          <w:numId w:val="1"/>
        </w:numPr>
        <w:tabs>
          <w:tab w:val="left" w:pos="0"/>
          <w:tab w:val="right" w:pos="8953"/>
        </w:tabs>
        <w:jc w:val="both"/>
        <w:rPr>
          <w:sz w:val="20"/>
          <w:szCs w:val="20"/>
        </w:rPr>
      </w:pPr>
      <w:r>
        <w:rPr>
          <w:sz w:val="20"/>
          <w:szCs w:val="20"/>
        </w:rPr>
        <w:t xml:space="preserve">10.20 BN-77/8931-12 Oznaczanie wskaźnika zagęszczenia gruntu </w:t>
      </w:r>
    </w:p>
    <w:p w:rsidR="00F06F54" w:rsidRPr="00FC4B14" w:rsidRDefault="007C4CDC" w:rsidP="00FC4B14">
      <w:pPr>
        <w:numPr>
          <w:ilvl w:val="0"/>
          <w:numId w:val="1"/>
        </w:numPr>
        <w:tabs>
          <w:tab w:val="left" w:pos="0"/>
          <w:tab w:val="right" w:pos="8953"/>
        </w:tabs>
        <w:jc w:val="both"/>
        <w:rPr>
          <w:sz w:val="20"/>
          <w:szCs w:val="20"/>
        </w:rPr>
      </w:pPr>
      <w:r>
        <w:rPr>
          <w:sz w:val="20"/>
          <w:szCs w:val="20"/>
        </w:rPr>
        <w:t>Inne dokumenty</w:t>
      </w:r>
      <w:bookmarkStart w:id="3" w:name="_GoBack"/>
      <w:bookmarkEnd w:id="3"/>
    </w:p>
    <w:sectPr w:rsidR="00F06F54" w:rsidRPr="00FC4B14" w:rsidSect="00243B0E">
      <w:head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97B" w:rsidRDefault="00CB127F">
      <w:r>
        <w:separator/>
      </w:r>
    </w:p>
  </w:endnote>
  <w:endnote w:type="continuationSeparator" w:id="1">
    <w:p w:rsidR="00E8397B" w:rsidRDefault="00CB1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97B" w:rsidRDefault="00CB127F">
      <w:r>
        <w:separator/>
      </w:r>
    </w:p>
  </w:footnote>
  <w:footnote w:type="continuationSeparator" w:id="1">
    <w:p w:rsidR="00E8397B" w:rsidRDefault="00CB1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820" w:rsidRDefault="00C444D7"/>
  <w:p w:rsidR="00681820" w:rsidRDefault="00C444D7">
    <w:pPr>
      <w:pStyle w:val="Nagwek"/>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820" w:rsidRDefault="00C444D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221120"/>
    <w:lvl w:ilvl="0">
      <w:numFmt w:val="decimal"/>
      <w:lvlText w:val="*"/>
      <w:lvlJc w:val="left"/>
    </w:lvl>
  </w:abstractNum>
  <w:abstractNum w:abstractNumId="1">
    <w:nsid w:val="13640A41"/>
    <w:multiLevelType w:val="singleLevel"/>
    <w:tmpl w:val="04150017"/>
    <w:lvl w:ilvl="0">
      <w:start w:val="1"/>
      <w:numFmt w:val="lowerLetter"/>
      <w:lvlText w:val="%1)"/>
      <w:lvlJc w:val="left"/>
      <w:pPr>
        <w:tabs>
          <w:tab w:val="num" w:pos="360"/>
        </w:tabs>
        <w:ind w:left="360" w:hanging="360"/>
      </w:pPr>
      <w:rPr>
        <w:rFonts w:hint="default"/>
      </w:rPr>
    </w:lvl>
  </w:abstractNum>
  <w:abstractNum w:abstractNumId="2">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3">
    <w:nsid w:val="34D346F8"/>
    <w:multiLevelType w:val="singleLevel"/>
    <w:tmpl w:val="AAECB2B4"/>
    <w:lvl w:ilvl="0">
      <w:start w:val="10"/>
      <w:numFmt w:val="bullet"/>
      <w:lvlText w:val="-"/>
      <w:lvlJc w:val="left"/>
      <w:pPr>
        <w:tabs>
          <w:tab w:val="num" w:pos="1080"/>
        </w:tabs>
        <w:ind w:left="1080" w:hanging="360"/>
      </w:pPr>
      <w:rPr>
        <w:rFonts w:hint="default"/>
      </w:rPr>
    </w:lvl>
  </w:abstractNum>
  <w:abstractNum w:abstractNumId="4">
    <w:nsid w:val="7AF435EF"/>
    <w:multiLevelType w:val="singleLevel"/>
    <w:tmpl w:val="FEDE5624"/>
    <w:lvl w:ilvl="0">
      <w:start w:val="1"/>
      <w:numFmt w:val="bullet"/>
      <w:lvlText w:val="-"/>
      <w:lvlJc w:val="left"/>
      <w:pPr>
        <w:tabs>
          <w:tab w:val="num" w:pos="700"/>
        </w:tabs>
        <w:ind w:left="624" w:hanging="284"/>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E37BB7"/>
    <w:rsid w:val="001A1FAE"/>
    <w:rsid w:val="00243B0E"/>
    <w:rsid w:val="004C6354"/>
    <w:rsid w:val="004E6719"/>
    <w:rsid w:val="007260FA"/>
    <w:rsid w:val="007C4CDC"/>
    <w:rsid w:val="007F3881"/>
    <w:rsid w:val="00C444D7"/>
    <w:rsid w:val="00C97ED1"/>
    <w:rsid w:val="00CB127F"/>
    <w:rsid w:val="00E37BB7"/>
    <w:rsid w:val="00E8397B"/>
    <w:rsid w:val="00F06F54"/>
    <w:rsid w:val="00FA23C1"/>
    <w:rsid w:val="00FC4B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4CD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C4CDC"/>
    <w:pPr>
      <w:keepNext/>
      <w:keepLines/>
      <w:suppressAutoHyphens/>
      <w:overflowPunct w:val="0"/>
      <w:autoSpaceDE w:val="0"/>
      <w:autoSpaceDN w:val="0"/>
      <w:adjustRightInd w:val="0"/>
      <w:spacing w:before="120" w:after="120"/>
      <w:jc w:val="both"/>
      <w:textAlignment w:val="baseline"/>
      <w:outlineLvl w:val="0"/>
    </w:pPr>
    <w:rPr>
      <w:b/>
      <w:caps/>
      <w:kern w:val="28"/>
      <w:sz w:val="20"/>
      <w:szCs w:val="20"/>
    </w:rPr>
  </w:style>
  <w:style w:type="paragraph" w:styleId="Nagwek2">
    <w:name w:val="heading 2"/>
    <w:basedOn w:val="Normalny"/>
    <w:next w:val="Normalny"/>
    <w:link w:val="Nagwek2Znak"/>
    <w:qFormat/>
    <w:rsid w:val="007C4CDC"/>
    <w:pPr>
      <w:keepNext/>
      <w:overflowPunct w:val="0"/>
      <w:autoSpaceDE w:val="0"/>
      <w:autoSpaceDN w:val="0"/>
      <w:adjustRightInd w:val="0"/>
      <w:spacing w:before="120" w:after="120"/>
      <w:jc w:val="both"/>
      <w:textAlignment w:val="baseline"/>
      <w:outlineLvl w:val="1"/>
    </w:pPr>
    <w:rPr>
      <w:b/>
      <w:sz w:val="20"/>
      <w:szCs w:val="20"/>
    </w:rPr>
  </w:style>
  <w:style w:type="paragraph" w:styleId="Nagwek3">
    <w:name w:val="heading 3"/>
    <w:basedOn w:val="Normalny"/>
    <w:next w:val="Normalny"/>
    <w:link w:val="Nagwek3Znak"/>
    <w:qFormat/>
    <w:rsid w:val="007C4CDC"/>
    <w:pPr>
      <w:keepNext/>
      <w:overflowPunct w:val="0"/>
      <w:autoSpaceDE w:val="0"/>
      <w:autoSpaceDN w:val="0"/>
      <w:adjustRightInd w:val="0"/>
      <w:spacing w:before="60" w:after="60"/>
      <w:jc w:val="both"/>
      <w:textAlignment w:val="baseline"/>
      <w:outlineLvl w:val="2"/>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C4CD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7C4CD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7C4CDC"/>
    <w:rPr>
      <w:rFonts w:ascii="Times New Roman" w:eastAsia="Times New Roman" w:hAnsi="Times New Roman" w:cs="Times New Roman"/>
      <w:sz w:val="20"/>
      <w:szCs w:val="20"/>
      <w:lang w:eastAsia="pl-PL"/>
    </w:rPr>
  </w:style>
  <w:style w:type="paragraph" w:customStyle="1" w:styleId="tekstost">
    <w:name w:val="tekst ost"/>
    <w:basedOn w:val="Normalny"/>
    <w:rsid w:val="007C4CDC"/>
    <w:pPr>
      <w:overflowPunct w:val="0"/>
      <w:autoSpaceDE w:val="0"/>
      <w:autoSpaceDN w:val="0"/>
      <w:adjustRightInd w:val="0"/>
      <w:jc w:val="both"/>
      <w:textAlignment w:val="baseline"/>
    </w:pPr>
    <w:rPr>
      <w:sz w:val="20"/>
      <w:szCs w:val="20"/>
    </w:rPr>
  </w:style>
  <w:style w:type="paragraph" w:customStyle="1" w:styleId="Standardowytekst">
    <w:name w:val="Standardowy.tekst"/>
    <w:rsid w:val="007C4CD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7C4CDC"/>
    <w:pPr>
      <w:tabs>
        <w:tab w:val="center" w:pos="4536"/>
        <w:tab w:val="right" w:pos="9072"/>
      </w:tabs>
      <w:overflowPunct w:val="0"/>
      <w:autoSpaceDE w:val="0"/>
      <w:autoSpaceDN w:val="0"/>
      <w:adjustRightInd w:val="0"/>
      <w:textAlignment w:val="baseline"/>
    </w:pPr>
    <w:rPr>
      <w:b/>
      <w:szCs w:val="20"/>
    </w:rPr>
  </w:style>
  <w:style w:type="character" w:customStyle="1" w:styleId="NagwekZnak">
    <w:name w:val="Nagłówek Znak"/>
    <w:basedOn w:val="Domylnaczcionkaakapitu"/>
    <w:link w:val="Nagwek"/>
    <w:rsid w:val="007C4CDC"/>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7C4CDC"/>
    <w:rPr>
      <w:sz w:val="20"/>
    </w:rPr>
  </w:style>
  <w:style w:type="character" w:customStyle="1" w:styleId="Tekstpodstawowy2Znak">
    <w:name w:val="Tekst podstawowy 2 Znak"/>
    <w:basedOn w:val="Domylnaczcionkaakapitu"/>
    <w:link w:val="Tekstpodstawowy2"/>
    <w:rsid w:val="007C4CDC"/>
    <w:rPr>
      <w:rFonts w:ascii="Times New Roman" w:eastAsia="Times New Roman" w:hAnsi="Times New Roman" w:cs="Times New Roman"/>
      <w:sz w:val="20"/>
      <w:szCs w:val="24"/>
      <w:lang w:eastAsia="pl-PL"/>
    </w:rPr>
  </w:style>
  <w:style w:type="paragraph" w:styleId="Tekstpodstawowywcity">
    <w:name w:val="Body Text Indent"/>
    <w:basedOn w:val="Normalny"/>
    <w:link w:val="TekstpodstawowywcityZnak"/>
    <w:rsid w:val="007C4CDC"/>
    <w:pPr>
      <w:spacing w:after="120"/>
      <w:ind w:left="283"/>
    </w:pPr>
  </w:style>
  <w:style w:type="character" w:customStyle="1" w:styleId="TekstpodstawowywcityZnak">
    <w:name w:val="Tekst podstawowy wcięty Znak"/>
    <w:basedOn w:val="Domylnaczcionkaakapitu"/>
    <w:link w:val="Tekstpodstawowywcity"/>
    <w:rsid w:val="007C4CD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C4CDC"/>
    <w:pPr>
      <w:spacing w:after="120" w:line="480" w:lineRule="auto"/>
      <w:ind w:left="283"/>
    </w:pPr>
  </w:style>
  <w:style w:type="character" w:customStyle="1" w:styleId="Tekstpodstawowywcity2Znak">
    <w:name w:val="Tekst podstawowy wcięty 2 Znak"/>
    <w:basedOn w:val="Domylnaczcionkaakapitu"/>
    <w:link w:val="Tekstpodstawowywcity2"/>
    <w:rsid w:val="007C4CD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7C4CDC"/>
    <w:pPr>
      <w:spacing w:after="120"/>
      <w:ind w:left="283"/>
    </w:pPr>
    <w:rPr>
      <w:sz w:val="16"/>
      <w:szCs w:val="16"/>
    </w:rPr>
  </w:style>
  <w:style w:type="character" w:customStyle="1" w:styleId="Tekstpodstawowywcity3Znak">
    <w:name w:val="Tekst podstawowy wcięty 3 Znak"/>
    <w:basedOn w:val="Domylnaczcionkaakapitu"/>
    <w:link w:val="Tekstpodstawowywcity3"/>
    <w:rsid w:val="007C4CDC"/>
    <w:rPr>
      <w:rFonts w:ascii="Times New Roman" w:eastAsia="Times New Roman" w:hAnsi="Times New Roman" w:cs="Times New Roman"/>
      <w:sz w:val="16"/>
      <w:szCs w:val="16"/>
      <w:lang w:eastAsia="pl-PL"/>
    </w:rPr>
  </w:style>
  <w:style w:type="paragraph" w:customStyle="1" w:styleId="Tabela">
    <w:name w:val="Tabela"/>
    <w:basedOn w:val="Normalny"/>
    <w:rsid w:val="007C4CDC"/>
    <w:pPr>
      <w:keepNext/>
    </w:pPr>
    <w:rPr>
      <w:sz w:val="20"/>
      <w:szCs w:val="20"/>
    </w:rPr>
  </w:style>
  <w:style w:type="paragraph" w:styleId="Legenda">
    <w:name w:val="caption"/>
    <w:basedOn w:val="Normalny"/>
    <w:next w:val="Normalny"/>
    <w:qFormat/>
    <w:rsid w:val="007C4CDC"/>
    <w:pPr>
      <w:spacing w:before="120" w:after="120"/>
      <w:jc w:val="both"/>
    </w:pPr>
    <w:rPr>
      <w:b/>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2836</Words>
  <Characters>17019</Characters>
  <Application>Microsoft Office Word</Application>
  <DocSecurity>0</DocSecurity>
  <Lines>141</Lines>
  <Paragraphs>39</Paragraphs>
  <ScaleCrop>false</ScaleCrop>
  <Company/>
  <LinksUpToDate>false</LinksUpToDate>
  <CharactersWithSpaces>19816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11</cp:revision>
  <dcterms:created xsi:type="dcterms:W3CDTF">2017-04-13T06:59:00Z</dcterms:created>
  <dcterms:modified xsi:type="dcterms:W3CDTF">2019-12-05T18:47:00Z</dcterms:modified>
</cp:coreProperties>
</file>